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tulo4"/>
        <w:keepNext/>
        <w:widowControl/>
        <w:numPr>
          <w:ilvl w:val="3"/>
          <w:numId w:val="1"/>
        </w:numPr>
        <w:shd w:fill="FFFFFF" w:val="clear"/>
        <w:suppressAutoHyphens w:val="true"/>
        <w:bidi w:val="0"/>
        <w:spacing w:lineRule="auto" w:line="360" w:before="0" w:after="0"/>
        <w:ind w:left="0" w:right="0" w:hanging="0"/>
        <w:jc w:val="center"/>
        <w:outlineLvl w:val="3"/>
        <w:rPr>
          <w:rFonts w:cs="Times New Roman" w:ascii="Times New Roman" w:hAnsi="Times New Roman"/>
          <w:bCs w:val="false"/>
          <w:color w:val="333333"/>
          <w:sz w:val="24"/>
          <w:szCs w:val="24"/>
        </w:rPr>
      </w:pPr>
      <w:bookmarkStart w:id="0" w:name="OLE_LINK1"/>
      <w:bookmarkEnd w:id="0"/>
      <w:r>
        <w:rPr>
          <w:rFonts w:cs="Times New Roman" w:ascii="Times New Roman" w:hAnsi="Times New Roman"/>
          <w:bCs w:val="false"/>
          <w:color w:val="333333"/>
          <w:sz w:val="24"/>
          <w:szCs w:val="24"/>
        </w:rPr>
        <w:t>POLÍTICAS PÚBLICA PARA A MATERNIDADE: UMA ANÁLISE DAS LICENÇAS POR MATERNIDADE E PATERNIDADE À LUZ DA IGUALDADE E DA SUSTENTABILIDADE SOCIAL</w:t>
      </w:r>
    </w:p>
    <w:p>
      <w:pPr>
        <w:pStyle w:val="Normal"/>
        <w:spacing w:lineRule="auto" w:line="360"/>
        <w:jc w:val="center"/>
        <w:rPr>
          <w:b/>
          <w:i/>
        </w:rPr>
      </w:pPr>
      <w:r>
        <w:rPr>
          <w:b/>
          <w:i/>
        </w:rPr>
      </w:r>
    </w:p>
    <w:p>
      <w:pPr>
        <w:pStyle w:val="Ttulo4"/>
        <w:keepNext/>
        <w:widowControl/>
        <w:numPr>
          <w:ilvl w:val="3"/>
          <w:numId w:val="1"/>
        </w:numPr>
        <w:shd w:fill="FFFFFF" w:val="clear"/>
        <w:suppressAutoHyphens w:val="true"/>
        <w:bidi w:val="0"/>
        <w:spacing w:lineRule="auto" w:line="360" w:before="0" w:after="0"/>
        <w:ind w:left="0" w:right="0" w:hanging="0"/>
        <w:jc w:val="center"/>
        <w:outlineLvl w:val="3"/>
        <w:rPr>
          <w:rFonts w:cs="Times New Roman" w:ascii="Times New Roman" w:hAnsi="Times New Roman"/>
          <w:bCs w:val="false"/>
          <w:i/>
          <w:color w:val="333333"/>
          <w:sz w:val="24"/>
          <w:szCs w:val="24"/>
        </w:rPr>
      </w:pPr>
      <w:r>
        <w:rPr>
          <w:rFonts w:cs="Times New Roman" w:ascii="Times New Roman" w:hAnsi="Times New Roman"/>
          <w:bCs w:val="false"/>
          <w:i/>
          <w:color w:val="333333"/>
          <w:sz w:val="24"/>
          <w:szCs w:val="24"/>
        </w:rPr>
        <w:t>PUBLIC POLICY FOR A MATERNITY: AN ANALYSIS OF THE MATERNITY AND FATHERHOOD LICENSE IN THE LIGHT OF EQUALITY AND SOCIAL SUSTAINABILITY</w:t>
      </w:r>
    </w:p>
    <w:p>
      <w:pPr>
        <w:pStyle w:val="Normal"/>
        <w:rPr>
          <w:lang w:val="en-US"/>
        </w:rPr>
      </w:pPr>
      <w:r>
        <w:rPr>
          <w:lang w:val="en-US"/>
        </w:rPr>
      </w:r>
    </w:p>
    <w:p>
      <w:pPr>
        <w:pStyle w:val="Normal"/>
        <w:rPr>
          <w:lang w:val="en-US"/>
        </w:rPr>
      </w:pPr>
      <w:r>
        <w:rPr>
          <w:lang w:val="en-US"/>
        </w:rPr>
      </w:r>
    </w:p>
    <w:p>
      <w:pPr>
        <w:pStyle w:val="Normal"/>
        <w:jc w:val="right"/>
        <w:rPr/>
      </w:pPr>
      <w:r>
        <w:rPr/>
      </w:r>
    </w:p>
    <w:p>
      <w:pPr>
        <w:pStyle w:val="Normal"/>
        <w:rPr/>
      </w:pPr>
      <w:r>
        <w:rPr/>
      </w:r>
    </w:p>
    <w:p>
      <w:pPr>
        <w:pStyle w:val="Normal"/>
        <w:rPr/>
      </w:pPr>
      <w:r>
        <w:rPr/>
      </w:r>
    </w:p>
    <w:p>
      <w:pPr>
        <w:pStyle w:val="NormalWeb"/>
        <w:shd w:fill="FFFFFF" w:val="clear"/>
        <w:spacing w:before="0" w:after="0"/>
        <w:jc w:val="both"/>
        <w:rPr>
          <w:rStyle w:val="Strong"/>
          <w:color w:val="333333"/>
        </w:rPr>
      </w:pPr>
      <w:r>
        <w:rPr>
          <w:rStyle w:val="Strong"/>
          <w:color w:val="333333"/>
        </w:rPr>
        <w:t>RESUMO</w:t>
      </w:r>
    </w:p>
    <w:p>
      <w:pPr>
        <w:pStyle w:val="NormalWeb"/>
        <w:shd w:fill="FFFFFF" w:val="clear"/>
        <w:spacing w:lineRule="auto" w:line="360" w:before="0" w:after="0"/>
        <w:jc w:val="both"/>
        <w:rPr>
          <w:color w:val="333333"/>
        </w:rPr>
      </w:pPr>
      <w:r>
        <w:rPr>
          <w:color w:val="333333"/>
        </w:rPr>
      </w:r>
    </w:p>
    <w:p>
      <w:pPr>
        <w:pStyle w:val="NormalWeb"/>
        <w:shd w:fill="FFFFFF" w:val="clear"/>
        <w:suppressAutoHyphens w:val="true"/>
        <w:spacing w:before="0" w:after="0"/>
        <w:jc w:val="both"/>
        <w:rPr>
          <w:color w:val="333333"/>
        </w:rPr>
      </w:pPr>
      <w:r>
        <w:rPr>
          <w:color w:val="333333"/>
        </w:rPr>
        <w:t>Este artigo aborda o tema do direito à maternidade e o seu exercício no ambiente de trabalho, sob o prisma do princípio da igualdade e à luz da sustentabilidade social com a finalidade de proporcionar às mulheres condições de igualdade com o homem para o ingresso e permanência no mercado de trabalho, bem como para garantir que as novas formas família possam exercer o direito à convivência com os filhos.</w:t>
      </w:r>
    </w:p>
    <w:p>
      <w:pPr>
        <w:pStyle w:val="NormalWeb"/>
        <w:shd w:fill="FFFFFF" w:val="clear"/>
        <w:suppressAutoHyphens w:val="true"/>
        <w:spacing w:lineRule="auto" w:line="360" w:before="0" w:after="0"/>
        <w:jc w:val="both"/>
        <w:rPr>
          <w:color w:val="333333"/>
        </w:rPr>
      </w:pPr>
      <w:r>
        <w:rPr>
          <w:color w:val="333333"/>
        </w:rPr>
      </w:r>
    </w:p>
    <w:p>
      <w:pPr>
        <w:pStyle w:val="NormalWeb"/>
        <w:shd w:fill="FFFFFF" w:val="clear"/>
        <w:suppressAutoHyphens w:val="true"/>
        <w:spacing w:before="0" w:after="0"/>
        <w:jc w:val="both"/>
        <w:rPr>
          <w:b/>
          <w:bCs/>
          <w:color w:val="333333"/>
        </w:rPr>
      </w:pPr>
      <w:r>
        <w:rPr>
          <w:b/>
          <w:bCs/>
          <w:color w:val="333333"/>
        </w:rPr>
        <w:t>PALAVRAS-CHAVE:</w:t>
      </w:r>
    </w:p>
    <w:p>
      <w:pPr>
        <w:pStyle w:val="NormalWeb"/>
        <w:shd w:fill="FFFFFF" w:val="clear"/>
        <w:suppressAutoHyphens w:val="true"/>
        <w:spacing w:lineRule="auto" w:line="360" w:before="0" w:after="0"/>
        <w:jc w:val="both"/>
        <w:rPr>
          <w:color w:val="333333"/>
        </w:rPr>
      </w:pPr>
      <w:r>
        <w:rPr>
          <w:color w:val="333333"/>
        </w:rPr>
        <w:br/>
        <w:t>Maternidade; Políticas Públicas; Igualdade; Sustentabilidade Social; Licenças.</w:t>
      </w:r>
    </w:p>
    <w:p>
      <w:pPr>
        <w:pStyle w:val="NormalWeb"/>
        <w:shd w:fill="FFFFFF" w:val="clear"/>
        <w:suppressAutoHyphens w:val="true"/>
        <w:spacing w:before="0" w:after="0"/>
        <w:jc w:val="both"/>
        <w:rPr>
          <w:color w:val="333333"/>
        </w:rPr>
      </w:pPr>
      <w:r>
        <w:rPr>
          <w:color w:val="333333"/>
        </w:rPr>
      </w:r>
    </w:p>
    <w:p>
      <w:pPr>
        <w:pStyle w:val="NormalWeb"/>
        <w:shd w:fill="FFFFFF" w:val="clear"/>
        <w:suppressAutoHyphens w:val="true"/>
        <w:spacing w:lineRule="auto" w:line="360" w:before="0" w:after="0"/>
        <w:jc w:val="both"/>
        <w:rPr>
          <w:rStyle w:val="Strong"/>
          <w:color w:val="333333"/>
          <w:lang w:val="en-US"/>
        </w:rPr>
      </w:pPr>
      <w:r>
        <w:rPr>
          <w:rStyle w:val="Strong"/>
          <w:color w:val="333333"/>
          <w:lang w:val="en-US"/>
        </w:rPr>
        <w:t>ABSTRACT</w:t>
      </w:r>
    </w:p>
    <w:p>
      <w:pPr>
        <w:pStyle w:val="NormalWeb"/>
        <w:shd w:fill="FFFFFF" w:val="clear"/>
        <w:suppressAutoHyphens w:val="true"/>
        <w:spacing w:before="0" w:after="0"/>
        <w:jc w:val="both"/>
        <w:rPr>
          <w:color w:val="333333"/>
          <w:lang w:val="en-US"/>
        </w:rPr>
      </w:pPr>
      <w:r>
        <w:rPr>
          <w:color w:val="333333"/>
          <w:lang w:val="en-US"/>
        </w:rPr>
        <w:br/>
        <w:t>This article addresses the issue of the right to maternity and its exercise in the workplace, under the prism of the principle of equality and in the light of social sustainability, in order to provide women with conditions of equality with men for entering and remaining in the workplace. Labor market, as well as to ensure that the new family forms can exercise the right to live with their children.</w:t>
      </w:r>
    </w:p>
    <w:p>
      <w:pPr>
        <w:pStyle w:val="NormalWeb"/>
        <w:shd w:fill="FFFFFF" w:val="clear"/>
        <w:suppressAutoHyphens w:val="true"/>
        <w:spacing w:lineRule="auto" w:line="360" w:before="0" w:after="0"/>
        <w:jc w:val="both"/>
        <w:rPr>
          <w:color w:val="333333"/>
          <w:lang w:val="en-US"/>
        </w:rPr>
      </w:pPr>
      <w:r>
        <w:rPr>
          <w:color w:val="333333"/>
          <w:lang w:val="en-US"/>
        </w:rPr>
      </w:r>
    </w:p>
    <w:p>
      <w:pPr>
        <w:pStyle w:val="NormalWeb"/>
        <w:shd w:fill="FFFFFF" w:val="clear"/>
        <w:suppressAutoHyphens w:val="true"/>
        <w:spacing w:lineRule="auto" w:line="360" w:before="0" w:after="0"/>
        <w:jc w:val="both"/>
        <w:rPr>
          <w:rStyle w:val="Strong"/>
          <w:color w:val="333333"/>
          <w:lang w:val="en-US"/>
        </w:rPr>
      </w:pPr>
      <w:r>
        <w:rPr>
          <w:rStyle w:val="Strong"/>
          <w:color w:val="333333"/>
          <w:lang w:val="en-US"/>
        </w:rPr>
        <w:t>KEYWORDS:</w:t>
      </w:r>
    </w:p>
    <w:p>
      <w:pPr>
        <w:pStyle w:val="NormalWeb"/>
        <w:shd w:fill="FFFFFF" w:val="clear"/>
        <w:suppressAutoHyphens w:val="true"/>
        <w:spacing w:before="0" w:after="0"/>
        <w:jc w:val="both"/>
        <w:rPr>
          <w:rStyle w:val="Palavrachave"/>
          <w:color w:val="333333"/>
          <w:lang w:val="en-US"/>
        </w:rPr>
      </w:pPr>
      <w:r>
        <w:rPr>
          <w:color w:val="333333"/>
          <w:lang w:val="en-US"/>
        </w:rPr>
        <w:br/>
      </w:r>
      <w:r>
        <w:rPr>
          <w:rStyle w:val="Palavrachave"/>
          <w:color w:val="333333"/>
          <w:lang w:val="en-US"/>
        </w:rPr>
        <w:t>Maternity; Public Policy; Equality; Social Sustainability; Licenses.</w:t>
      </w:r>
    </w:p>
    <w:p>
      <w:pPr>
        <w:pStyle w:val="Normal"/>
        <w:suppressAutoHyphens w:val="true"/>
        <w:spacing w:lineRule="auto" w:line="360"/>
        <w:rPr>
          <w:color w:val="000000"/>
          <w:lang w:val="en-US" w:eastAsia="pt-BR"/>
        </w:rPr>
      </w:pPr>
      <w:r>
        <w:rPr>
          <w:color w:val="000000"/>
          <w:lang w:val="en-US" w:eastAsia="pt-BR"/>
        </w:rPr>
      </w:r>
    </w:p>
    <w:p>
      <w:pPr>
        <w:pStyle w:val="Normal"/>
        <w:suppressAutoHyphens w:val="true"/>
        <w:spacing w:lineRule="auto" w:line="360"/>
        <w:jc w:val="both"/>
        <w:rPr/>
      </w:pPr>
      <w:r>
        <w:rPr/>
      </w:r>
    </w:p>
    <w:p>
      <w:pPr>
        <w:pStyle w:val="Normal"/>
        <w:suppressAutoHyphens w:val="true"/>
        <w:spacing w:lineRule="auto" w:line="360"/>
        <w:jc w:val="both"/>
        <w:rPr/>
      </w:pPr>
      <w:r>
        <w:rPr/>
      </w:r>
    </w:p>
    <w:p>
      <w:pPr>
        <w:pStyle w:val="Normal"/>
        <w:suppressAutoHyphens w:val="true"/>
        <w:spacing w:lineRule="auto" w:line="360"/>
        <w:jc w:val="both"/>
        <w:rPr/>
      </w:pPr>
      <w:r>
        <w:rPr/>
      </w:r>
    </w:p>
    <w:p>
      <w:pPr>
        <w:pStyle w:val="Normal"/>
        <w:suppressAutoHyphens w:val="true"/>
        <w:spacing w:lineRule="auto" w:line="360"/>
        <w:jc w:val="both"/>
        <w:rPr/>
      </w:pPr>
      <w:r>
        <w:rPr/>
      </w:r>
    </w:p>
    <w:p>
      <w:pPr>
        <w:pStyle w:val="Normal"/>
        <w:suppressAutoHyphens w:val="true"/>
        <w:spacing w:lineRule="auto" w:line="360"/>
        <w:jc w:val="both"/>
        <w:rPr/>
      </w:pPr>
      <w:r>
        <w:rPr/>
      </w:r>
    </w:p>
    <w:p>
      <w:pPr>
        <w:pStyle w:val="Normal"/>
        <w:suppressAutoHyphens w:val="true"/>
        <w:spacing w:lineRule="auto" w:line="360"/>
        <w:jc w:val="both"/>
        <w:rPr>
          <w:b/>
          <w:bCs/>
          <w:color w:val="000000"/>
          <w:lang w:eastAsia="pt-BR"/>
        </w:rPr>
      </w:pPr>
      <w:r>
        <w:rPr>
          <w:b/>
          <w:bCs/>
          <w:color w:val="000000"/>
          <w:lang w:eastAsia="pt-BR"/>
        </w:rPr>
        <w:t xml:space="preserve">REFERÊNCIAS </w:t>
      </w:r>
    </w:p>
    <w:p>
      <w:pPr>
        <w:pStyle w:val="Normal"/>
        <w:suppressAutoHyphens w:val="true"/>
        <w:spacing w:lineRule="auto" w:line="360"/>
        <w:jc w:val="both"/>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BANDEIRA, Lourdes &amp; ALMEIDA, Tânia Mara Campos de. </w:t>
      </w:r>
      <w:r>
        <w:rPr>
          <w:b/>
          <w:bCs/>
          <w:color w:val="000000"/>
          <w:lang w:eastAsia="pt-BR"/>
        </w:rPr>
        <w:t>A violência contra as mulheres: um problema coletivo e atual</w:t>
      </w:r>
      <w:r>
        <w:rPr>
          <w:color w:val="000000"/>
          <w:lang w:eastAsia="pt-BR"/>
        </w:rPr>
        <w:t xml:space="preserve">. Disponível em: &lt;https://encontroprogramadeprotecao.files.wordpress.com/2012/02/a-violc3aancia-contra-as-mulheres.pdf&gt;. Acesso em: 09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BARROS, Alice Monteiro de. </w:t>
      </w:r>
      <w:r>
        <w:rPr>
          <w:b/>
          <w:bCs/>
          <w:color w:val="000000"/>
          <w:lang w:eastAsia="pt-BR"/>
        </w:rPr>
        <w:t>A mulher e o direito do trabalho</w:t>
      </w:r>
      <w:r>
        <w:rPr>
          <w:color w:val="000000"/>
          <w:lang w:eastAsia="pt-BR"/>
        </w:rPr>
        <w:t xml:space="preserve">. São Paulo, LTr, 1995.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________________. </w:t>
      </w:r>
      <w:r>
        <w:rPr>
          <w:b/>
          <w:bCs/>
          <w:color w:val="000000"/>
          <w:lang w:eastAsia="pt-BR"/>
        </w:rPr>
        <w:t>Curso de Direito do Trabalho</w:t>
      </w:r>
      <w:r>
        <w:rPr>
          <w:color w:val="000000"/>
          <w:lang w:eastAsia="pt-BR"/>
        </w:rPr>
        <w:t xml:space="preserve">. 4ª ed. São Paulo, LTr, 2009.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Consolidação das Leis do Trabalho (1943). </w:t>
      </w:r>
      <w:r>
        <w:rPr>
          <w:b/>
          <w:bCs/>
          <w:color w:val="000000"/>
          <w:lang w:eastAsia="pt-BR"/>
        </w:rPr>
        <w:t xml:space="preserve">Decreto-Lei nº 5.452, de 1º de maio de 1943. </w:t>
      </w:r>
      <w:r>
        <w:rPr>
          <w:color w:val="000000"/>
          <w:lang w:eastAsia="pt-BR"/>
        </w:rPr>
        <w:t xml:space="preserve">Disponível em: &lt;http://www.planalto.gov.br/ccivil_03/decreto-lei/Del5452compilado.htm&gt;. Acesso em: 04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Constituição (1988). </w:t>
      </w:r>
      <w:r>
        <w:rPr>
          <w:b/>
          <w:bCs/>
          <w:color w:val="000000"/>
          <w:lang w:eastAsia="pt-BR"/>
        </w:rPr>
        <w:t xml:space="preserve">Constituição da República Federativa do Brasil. </w:t>
      </w:r>
      <w:r>
        <w:rPr>
          <w:color w:val="000000"/>
          <w:lang w:eastAsia="pt-BR"/>
        </w:rPr>
        <w:t xml:space="preserve">Brasília: </w:t>
      </w:r>
    </w:p>
    <w:p>
      <w:pPr>
        <w:pStyle w:val="Normal"/>
        <w:suppressAutoHyphens w:val="true"/>
        <w:rPr>
          <w:color w:val="000000"/>
          <w:lang w:eastAsia="pt-BR"/>
        </w:rPr>
      </w:pPr>
      <w:r>
        <w:rPr>
          <w:color w:val="000000"/>
          <w:lang w:eastAsia="pt-BR"/>
        </w:rPr>
        <w:t xml:space="preserve">Senado Federal, 1988. Disponível em: &lt;http://www.planalto.gov.br/ccivil_03/constituicao/constituicaocompilado.htm&gt;. Acesso em: 04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w:t>
      </w:r>
      <w:r>
        <w:rPr>
          <w:b/>
          <w:bCs/>
          <w:color w:val="000000"/>
          <w:lang w:eastAsia="pt-BR"/>
        </w:rPr>
        <w:t xml:space="preserve">Lei nº 6.136, de 07 de novembro de 1974. </w:t>
      </w:r>
      <w:r>
        <w:rPr>
          <w:color w:val="000000"/>
          <w:lang w:eastAsia="pt-BR"/>
        </w:rPr>
        <w:t xml:space="preserve">Disponível em: &lt;http://www.planalto.gov.br/ccivil_03/leis/1970-1979/L6136.htm&gt;. Acessado em 01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w:t>
      </w:r>
      <w:r>
        <w:rPr>
          <w:b/>
          <w:bCs/>
          <w:color w:val="000000"/>
          <w:lang w:eastAsia="pt-BR"/>
        </w:rPr>
        <w:t xml:space="preserve">Lei nº 11.770, de 09 de setembro de 2008. </w:t>
      </w:r>
      <w:r>
        <w:rPr>
          <w:color w:val="000000"/>
          <w:lang w:eastAsia="pt-BR"/>
        </w:rPr>
        <w:t xml:space="preserve">Disponível em: &lt;http://www.planalto.gov.br/ccivil_03/_ato2007-2010/2008/lei/l11770.htm&gt;. Acesso em: 01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w:t>
      </w:r>
      <w:r>
        <w:rPr>
          <w:b/>
          <w:bCs/>
          <w:color w:val="000000"/>
          <w:lang w:eastAsia="pt-BR"/>
        </w:rPr>
        <w:t xml:space="preserve">Lei nº 10.421, de 15 de abril de 2002. </w:t>
      </w:r>
      <w:r>
        <w:rPr>
          <w:color w:val="000000"/>
          <w:lang w:eastAsia="pt-BR"/>
        </w:rPr>
        <w:t xml:space="preserve">Disponível em: &lt;www.planalto.gov.br/CCivil_03/leis/2002/L10421.htm&gt;. Acesso em: 01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w:t>
      </w:r>
      <w:r>
        <w:rPr>
          <w:b/>
          <w:bCs/>
          <w:color w:val="000000"/>
          <w:lang w:eastAsia="pt-BR"/>
        </w:rPr>
        <w:t xml:space="preserve">Lei nº 12.873, de 24 de outubro de 2013. </w:t>
      </w:r>
      <w:r>
        <w:rPr>
          <w:color w:val="000000"/>
          <w:lang w:eastAsia="pt-BR"/>
        </w:rPr>
        <w:t xml:space="preserve">Disponível em: &lt;http://www.planalto.gov.br/ccivil_03/_ato2011-2014/2013/Lei/L12873.htm&gt;. Acesso em: 01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BRASIL. </w:t>
      </w:r>
      <w:r>
        <w:rPr>
          <w:b/>
          <w:bCs/>
          <w:color w:val="000000"/>
          <w:lang w:eastAsia="pt-BR"/>
        </w:rPr>
        <w:t>Lei nº 13.257, de 08 de março de 2016</w:t>
      </w:r>
      <w:r>
        <w:rPr>
          <w:color w:val="000000"/>
          <w:lang w:eastAsia="pt-BR"/>
        </w:rPr>
        <w:t xml:space="preserve">. Disponível em: &lt;http://www.planalto.gov.br/ccivil_03/_ato2015-2018/2016/lei/L13257.htm&gt;. Acesso em: 01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CALIL, Lea Elisa Silingowschi. </w:t>
      </w:r>
      <w:r>
        <w:rPr>
          <w:b/>
          <w:bCs/>
          <w:color w:val="000000"/>
          <w:lang w:eastAsia="pt-BR"/>
        </w:rPr>
        <w:t>Direito do trabalho da Mulher: a questão da igualdade jurídica ante a desigualdade fática</w:t>
      </w:r>
      <w:r>
        <w:rPr>
          <w:color w:val="000000"/>
          <w:lang w:eastAsia="pt-BR"/>
        </w:rPr>
        <w:t xml:space="preserve">. São Paulo: LTr, 2007.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DELGADO, Mauricio Godinho. </w:t>
      </w:r>
      <w:r>
        <w:rPr>
          <w:b/>
          <w:bCs/>
          <w:color w:val="000000"/>
          <w:lang w:eastAsia="pt-BR"/>
        </w:rPr>
        <w:t>Curso de Direito do Trabalho</w:t>
      </w:r>
      <w:r>
        <w:rPr>
          <w:color w:val="000000"/>
          <w:lang w:eastAsia="pt-BR"/>
        </w:rPr>
        <w:t xml:space="preserve">. São Paulo: LTr, 2010.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FARAH, Marta Ferreira Santos. </w:t>
      </w:r>
      <w:r>
        <w:rPr>
          <w:b/>
          <w:bCs/>
          <w:color w:val="000000"/>
          <w:lang w:eastAsia="pt-BR"/>
        </w:rPr>
        <w:t>Gênero e políticas públicas</w:t>
      </w:r>
      <w:r>
        <w:rPr>
          <w:color w:val="000000"/>
          <w:lang w:eastAsia="pt-BR"/>
        </w:rPr>
        <w:t xml:space="preserve">. Revista de Estudos Feministas. V.12, Núm. 1, jan-abr/2004. Florianópolis. Disponível em: &lt;https://periodicos.ufsc.br/index.php/ref/article/view/S0104-026X2004000100004/7943&gt;. Acesso em: 09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HORVATH JÚNIOR, Miguel. </w:t>
      </w:r>
      <w:r>
        <w:rPr>
          <w:b/>
          <w:bCs/>
          <w:color w:val="000000"/>
          <w:lang w:eastAsia="pt-BR"/>
        </w:rPr>
        <w:t xml:space="preserve">Revisitando o salário maternidade à luz das recentes alterações. </w:t>
      </w:r>
      <w:r>
        <w:rPr>
          <w:color w:val="000000"/>
          <w:lang w:eastAsia="pt-BR"/>
        </w:rPr>
        <w:t xml:space="preserve">Disponível em: &lt;http://www.ambito-juridico.com.br/site/index.php?n_link=revista_artigos_leitura&amp;artigo_id=7907&gt;. Acesso em: 09 maio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MANDALOZZO, Silvana. </w:t>
      </w:r>
      <w:r>
        <w:rPr>
          <w:b/>
          <w:bCs/>
          <w:color w:val="000000"/>
          <w:lang w:eastAsia="pt-BR"/>
        </w:rPr>
        <w:t>A maternidade no direito do trabalho</w:t>
      </w:r>
      <w:r>
        <w:rPr>
          <w:color w:val="000000"/>
          <w:lang w:eastAsia="pt-BR"/>
        </w:rPr>
        <w:t xml:space="preserve">. Curitiba: Juruá, 1996. </w:t>
      </w:r>
    </w:p>
    <w:p>
      <w:pPr>
        <w:pStyle w:val="Normal"/>
        <w:suppressAutoHyphens w:val="true"/>
        <w:rPr>
          <w:color w:val="000000"/>
          <w:lang w:eastAsia="pt-BR"/>
        </w:rPr>
      </w:pPr>
      <w:r>
        <w:rPr>
          <w:color w:val="000000"/>
          <w:lang w:eastAsia="pt-BR"/>
        </w:rPr>
        <w:t xml:space="preserve">MELLO, Celso Antônio Bandeira de. </w:t>
      </w:r>
      <w:r>
        <w:rPr>
          <w:b/>
          <w:bCs/>
          <w:color w:val="000000"/>
          <w:lang w:eastAsia="pt-BR"/>
        </w:rPr>
        <w:t>O conteúdo jurídico do princípio da igualdade</w:t>
      </w:r>
      <w:r>
        <w:rPr>
          <w:color w:val="000000"/>
          <w:lang w:eastAsia="pt-BR"/>
        </w:rPr>
        <w:t xml:space="preserve">. 18ª Ed. São Paulo, Malheiros, 2011.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MEULDERS, Danièle et al. </w:t>
      </w:r>
      <w:r>
        <w:rPr>
          <w:b/>
          <w:bCs/>
          <w:color w:val="000000"/>
          <w:lang w:eastAsia="pt-BR"/>
        </w:rPr>
        <w:t xml:space="preserve">Trabalho e maternidade na Europa: condições de trabalho e políticas públicas. </w:t>
      </w:r>
      <w:r>
        <w:rPr>
          <w:color w:val="000000"/>
          <w:lang w:eastAsia="pt-BR"/>
        </w:rPr>
        <w:t xml:space="preserve">Disponível em: &lt;http://www.scielo.br/scielo.php?script=sci_arttext&amp;pid=S0100-15742007000300006&gt;. Acesso em: 09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val="en-US" w:eastAsia="pt-BR"/>
        </w:rPr>
      </w:pPr>
      <w:r>
        <w:rPr>
          <w:color w:val="000000"/>
          <w:lang w:eastAsia="pt-BR"/>
        </w:rPr>
        <w:t xml:space="preserve">NASCIMENTO, Sônia A. C. Mascaro. </w:t>
      </w:r>
      <w:r>
        <w:rPr>
          <w:b/>
          <w:bCs/>
          <w:color w:val="000000"/>
          <w:lang w:eastAsia="pt-BR"/>
        </w:rPr>
        <w:t>Trabalho da Mulher: das proibições para o direito promocional</w:t>
      </w:r>
      <w:r>
        <w:rPr>
          <w:color w:val="000000"/>
          <w:lang w:eastAsia="pt-BR"/>
        </w:rPr>
        <w:t xml:space="preserve">. </w:t>
      </w:r>
      <w:r>
        <w:rPr>
          <w:color w:val="000000"/>
          <w:lang w:val="en-US" w:eastAsia="pt-BR"/>
        </w:rPr>
        <w:t xml:space="preserve">São Paulo: LTr, 1996. </w:t>
      </w:r>
    </w:p>
    <w:p>
      <w:pPr>
        <w:pStyle w:val="Normal"/>
        <w:suppressAutoHyphens w:val="true"/>
        <w:rPr>
          <w:color w:val="000000"/>
          <w:lang w:val="en-US" w:eastAsia="pt-BR"/>
        </w:rPr>
      </w:pPr>
      <w:r>
        <w:rPr>
          <w:color w:val="000000"/>
          <w:lang w:val="en-US" w:eastAsia="pt-BR"/>
        </w:rPr>
      </w:r>
    </w:p>
    <w:p>
      <w:pPr>
        <w:pStyle w:val="Normal"/>
        <w:suppressAutoHyphens w:val="true"/>
        <w:rPr>
          <w:color w:val="000000"/>
          <w:lang w:val="en-US" w:eastAsia="pt-BR"/>
        </w:rPr>
      </w:pPr>
      <w:r>
        <w:rPr>
          <w:color w:val="000000"/>
          <w:lang w:val="en-US" w:eastAsia="pt-BR"/>
        </w:rPr>
      </w:r>
    </w:p>
    <w:p>
      <w:pPr>
        <w:pStyle w:val="Normal"/>
        <w:suppressAutoHyphens w:val="true"/>
        <w:rPr>
          <w:color w:val="000000"/>
          <w:lang w:eastAsia="pt-BR"/>
        </w:rPr>
      </w:pPr>
      <w:r>
        <w:rPr>
          <w:color w:val="000000"/>
          <w:lang w:val="en-US" w:eastAsia="pt-BR"/>
        </w:rPr>
        <w:t xml:space="preserve">OIT. </w:t>
      </w:r>
      <w:r>
        <w:rPr>
          <w:b/>
          <w:bCs/>
          <w:color w:val="000000"/>
          <w:lang w:val="en-US" w:eastAsia="pt-BR"/>
        </w:rPr>
        <w:t>Maternity Protection Resource Package</w:t>
      </w:r>
      <w:r>
        <w:rPr>
          <w:color w:val="000000"/>
          <w:lang w:val="en-US" w:eastAsia="pt-BR"/>
        </w:rPr>
        <w:t xml:space="preserve">. From Aspiration to Reality for All. Part. 1: Maternity Protection at Work: The Basics. 2012. Disponível em: &lt;http://mprp.itcilo.org/allegati/en/m1.pdf&gt;. </w:t>
      </w:r>
      <w:r>
        <w:rPr>
          <w:color w:val="000000"/>
          <w:lang w:eastAsia="pt-BR"/>
        </w:rPr>
        <w:t xml:space="preserve">Acesso em: 06 de fevereiro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OIT. </w:t>
      </w:r>
      <w:r>
        <w:rPr>
          <w:b/>
          <w:bCs/>
          <w:color w:val="000000"/>
          <w:lang w:eastAsia="pt-BR"/>
        </w:rPr>
        <w:t xml:space="preserve">Convenção nº 03. </w:t>
      </w:r>
      <w:r>
        <w:rPr>
          <w:color w:val="000000"/>
          <w:lang w:eastAsia="pt-BR"/>
        </w:rPr>
        <w:t xml:space="preserve">Convenção relativa ao Emprego das Mulheres antes e depois do parto (Proteção à Maternidade).1919. Disponível em: &lt;http://www.oitbrasil.org.br/content/conven%C3%A7%C3%A3o-relativa-ao-emprego-das-mulheres-antes-e-depois-do-parto-prote%C3%A7%C3%A3o-%C3%A0-maternidade&gt;. Acesso em: 11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OIT. </w:t>
      </w:r>
      <w:r>
        <w:rPr>
          <w:b/>
          <w:bCs/>
          <w:color w:val="000000"/>
          <w:lang w:eastAsia="pt-BR"/>
        </w:rPr>
        <w:t xml:space="preserve">Convenção nº 103. </w:t>
      </w:r>
      <w:r>
        <w:rPr>
          <w:color w:val="000000"/>
          <w:lang w:eastAsia="pt-BR"/>
        </w:rPr>
        <w:t xml:space="preserve">Amparo à maternidade. 1952. Disponível em: &lt;http://www.oitbrasil.org.br/node/524&gt;. Acesso em: 11 mai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OIT. </w:t>
      </w:r>
      <w:r>
        <w:rPr>
          <w:b/>
          <w:bCs/>
          <w:color w:val="000000"/>
          <w:lang w:eastAsia="pt-BR"/>
        </w:rPr>
        <w:t xml:space="preserve">Convenção nº 156. </w:t>
      </w:r>
      <w:r>
        <w:rPr>
          <w:color w:val="000000"/>
          <w:lang w:eastAsia="pt-BR"/>
        </w:rPr>
        <w:t>Convenção sobre a igualdade de oportunidades e de tratamento para trabalhadores e trabalhadoras com responsabilidades familiares. 1981. Disponível em: &lt;</w:t>
      </w:r>
      <w:r>
        <w:rPr>
          <w:b/>
          <w:bCs/>
          <w:color w:val="000000"/>
          <w:lang w:eastAsia="pt-BR"/>
        </w:rPr>
        <w:t>http://www.oitbrasil.org.br/node/228</w:t>
      </w:r>
      <w:r>
        <w:rPr>
          <w:color w:val="000000"/>
          <w:lang w:eastAsia="pt-BR"/>
        </w:rPr>
        <w:t xml:space="preserve">&gt;. Acesso em: 11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OIT. </w:t>
      </w:r>
      <w:r>
        <w:rPr>
          <w:b/>
          <w:bCs/>
          <w:color w:val="000000"/>
          <w:lang w:eastAsia="pt-BR"/>
        </w:rPr>
        <w:t xml:space="preserve">Recomendação nº 165. </w:t>
      </w:r>
      <w:r>
        <w:rPr>
          <w:color w:val="000000"/>
          <w:lang w:eastAsia="pt-BR"/>
        </w:rPr>
        <w:t xml:space="preserve">Estabelece princípios e diretrizes para a aplicação da Convenção nº 156. Disponível em: </w:t>
      </w:r>
      <w:r>
        <w:rPr>
          <w:b/>
          <w:bCs/>
          <w:color w:val="000000"/>
          <w:lang w:eastAsia="pt-BR"/>
        </w:rPr>
        <w:t>&lt;</w:t>
      </w:r>
      <w:r>
        <w:rPr>
          <w:color w:val="000000"/>
          <w:lang w:eastAsia="pt-BR"/>
        </w:rPr>
        <w:t>http://www.oitbrasil.org.br/node/228</w:t>
      </w:r>
      <w:r>
        <w:rPr>
          <w:b/>
          <w:bCs/>
          <w:color w:val="000000"/>
          <w:lang w:eastAsia="pt-BR"/>
        </w:rPr>
        <w:t xml:space="preserve">&gt;. </w:t>
      </w:r>
      <w:r>
        <w:rPr>
          <w:color w:val="000000"/>
          <w:lang w:eastAsia="pt-BR"/>
        </w:rPr>
        <w:t xml:space="preserve">Acesso em: 11 de maio de 2017. </w:t>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r>
    </w:p>
    <w:p>
      <w:pPr>
        <w:pStyle w:val="Normal"/>
        <w:suppressAutoHyphens w:val="true"/>
        <w:rPr>
          <w:color w:val="000000"/>
          <w:lang w:eastAsia="pt-BR"/>
        </w:rPr>
      </w:pPr>
      <w:r>
        <w:rPr>
          <w:color w:val="000000"/>
          <w:lang w:eastAsia="pt-BR"/>
        </w:rPr>
        <w:t xml:space="preserve">TEIXEIRA, Daniel Viana. </w:t>
      </w:r>
      <w:r>
        <w:rPr>
          <w:b/>
          <w:bCs/>
          <w:color w:val="000000"/>
          <w:lang w:eastAsia="pt-BR"/>
        </w:rPr>
        <w:t>Desigualdade de gênero: sobre garantias e responsabilidades sociais de homens e mulheres</w:t>
      </w:r>
      <w:r>
        <w:rPr>
          <w:color w:val="000000"/>
          <w:lang w:eastAsia="pt-BR"/>
        </w:rPr>
        <w:t xml:space="preserve">. São Paulo, Revista Direito GV: 2010. </w:t>
      </w:r>
    </w:p>
    <w:p>
      <w:pPr>
        <w:pStyle w:val="Normal"/>
        <w:suppressAutoHyphens w:val="true"/>
        <w:jc w:val="both"/>
        <w:rPr>
          <w:color w:val="000000"/>
          <w:lang w:eastAsia="pt-BR"/>
        </w:rPr>
      </w:pPr>
      <w:r>
        <w:rPr>
          <w:color w:val="000000"/>
          <w:lang w:eastAsia="pt-BR"/>
        </w:rPr>
      </w:r>
    </w:p>
    <w:p>
      <w:pPr>
        <w:pStyle w:val="Normal"/>
        <w:suppressAutoHyphens w:val="true"/>
        <w:jc w:val="both"/>
        <w:rPr>
          <w:color w:val="000000"/>
          <w:lang w:eastAsia="pt-BR"/>
        </w:rPr>
      </w:pPr>
      <w:r>
        <w:rPr>
          <w:color w:val="000000"/>
          <w:lang w:eastAsia="pt-BR"/>
        </w:rPr>
      </w:r>
    </w:p>
    <w:p>
      <w:pPr>
        <w:pStyle w:val="Normal"/>
        <w:suppressAutoHyphens w:val="true"/>
        <w:jc w:val="both"/>
        <w:rPr>
          <w:color w:val="000000"/>
          <w:sz w:val="23"/>
          <w:szCs w:val="23"/>
          <w:lang w:eastAsia="pt-BR"/>
        </w:rPr>
      </w:pPr>
      <w:r>
        <w:rPr>
          <w:color w:val="000000"/>
          <w:lang w:eastAsia="pt-BR"/>
        </w:rPr>
        <w:t xml:space="preserve">VIEGAS E SILVA, Roberta. </w:t>
      </w:r>
      <w:r>
        <w:rPr>
          <w:b/>
          <w:bCs/>
          <w:color w:val="000000"/>
          <w:lang w:eastAsia="pt-BR"/>
        </w:rPr>
        <w:t xml:space="preserve">Maternidade e mercado de trabalho: </w:t>
      </w:r>
      <w:r>
        <w:rPr>
          <w:color w:val="000000"/>
          <w:lang w:eastAsia="pt-BR"/>
        </w:rPr>
        <w:t>avanços possíveis. Disponível em: &lt;https://www12.senado.leg.br/publicacoes/estudos-legislativos/tipos-de-estudos/boletins-legislativos</w:t>
      </w:r>
      <w:r>
        <w:rPr>
          <w:color w:val="000000"/>
          <w:sz w:val="23"/>
          <w:szCs w:val="23"/>
          <w:lang w:eastAsia="pt-BR"/>
        </w:rPr>
        <w:t>/bol42&gt;. Acesso em: 09 de maio de 2017.</w:t>
      </w:r>
    </w:p>
    <w:p>
      <w:pPr>
        <w:pStyle w:val="Normal"/>
        <w:suppressAutoHyphens w:val="true"/>
        <w:rPr/>
      </w:pPr>
      <w:r>
        <w:rPr/>
      </w:r>
    </w:p>
    <w:sectPr>
      <w:type w:val="nextPage"/>
      <w:pgSz w:w="11906" w:h="16838"/>
      <w:pgMar w:left="1701" w:right="1130" w:header="0" w:top="1755" w:footer="0" w:bottom="1418" w:gutter="0"/>
      <w:pgNumType w:start="0"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f51b1"/>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4">
    <w:name w:val="Título 4"/>
    <w:qFormat/>
    <w:link w:val="Ttulo4Char"/>
    <w:rsid w:val="00df51b1"/>
    <w:basedOn w:val="Normal"/>
    <w:next w:val="Normal"/>
    <w:pPr>
      <w:keepNext/>
      <w:spacing w:before="240" w:after="60"/>
      <w:outlineLvl w:val="3"/>
    </w:pPr>
    <w:rPr>
      <w:rFonts w:ascii="Calibri" w:hAnsi="Calibri" w:cs="Calibri"/>
      <w:b/>
      <w:bCs/>
      <w:sz w:val="28"/>
      <w:szCs w:val="28"/>
    </w:rPr>
  </w:style>
  <w:style w:type="character" w:styleId="DefaultParagraphFont" w:default="1">
    <w:name w:val="Default Paragraph Font"/>
    <w:uiPriority w:val="1"/>
    <w:semiHidden/>
    <w:unhideWhenUsed/>
    <w:rPr/>
  </w:style>
  <w:style w:type="character" w:styleId="Ttulo4Char" w:customStyle="1">
    <w:name w:val="Título 4 Char"/>
    <w:link w:val="Ttulo4"/>
    <w:rsid w:val="00df51b1"/>
    <w:basedOn w:val="DefaultParagraphFont"/>
    <w:rPr>
      <w:rFonts w:ascii="Calibri" w:hAnsi="Calibri" w:eastAsia="Times New Roman" w:cs="Calibri"/>
      <w:b/>
      <w:bCs/>
      <w:sz w:val="28"/>
      <w:szCs w:val="28"/>
      <w:lang w:eastAsia="zh-CN"/>
    </w:rPr>
  </w:style>
  <w:style w:type="character" w:styleId="Strong">
    <w:name w:val="Strong"/>
    <w:uiPriority w:val="22"/>
    <w:qFormat/>
    <w:rsid w:val="00df51b1"/>
    <w:rPr>
      <w:b/>
      <w:bCs/>
    </w:rPr>
  </w:style>
  <w:style w:type="character" w:styleId="Footnotereference">
    <w:name w:val="footnote reference"/>
    <w:rsid w:val="00df51b1"/>
    <w:rPr>
      <w:vertAlign w:val="superscript"/>
    </w:rPr>
  </w:style>
  <w:style w:type="character" w:styleId="TextodenotaderodapChar" w:customStyle="1">
    <w:name w:val="Texto de nota de rodapé Char"/>
    <w:link w:val="Textodenotaderodap"/>
    <w:rsid w:val="00df51b1"/>
    <w:basedOn w:val="DefaultParagraphFont"/>
    <w:rPr>
      <w:rFonts w:ascii="Times New Roman" w:hAnsi="Times New Roman" w:eastAsia="Times New Roman" w:cs="Times New Roman"/>
      <w:sz w:val="20"/>
      <w:szCs w:val="20"/>
      <w:lang w:eastAsia="zh-CN"/>
    </w:rPr>
  </w:style>
  <w:style w:type="character" w:styleId="Palavrachave" w:customStyle="1">
    <w:name w:val="palavra-chave"/>
    <w:rsid w:val="00df51b1"/>
    <w:basedOn w:val="DefaultParagraphFont"/>
    <w:rPr/>
  </w:style>
  <w:style w:type="character" w:styleId="LinkdaInternet">
    <w:name w:val="Link da Internet"/>
    <w:uiPriority w:val="99"/>
    <w:unhideWhenUsed/>
    <w:rsid w:val="00df51b1"/>
    <w:basedOn w:val="DefaultParagraphFont"/>
    <w:rPr>
      <w:color w:val="0000FF"/>
      <w:u w:val="single"/>
      <w:lang w:val="zxx" w:eastAsia="zxx" w:bidi="zxx"/>
    </w:rPr>
  </w:style>
  <w:style w:type="character" w:styleId="Ncoradanotaderodap">
    <w:name w:val="Âncora da nota de rodapé"/>
    <w:rPr>
      <w:vertAlign w:val="superscript"/>
    </w:rPr>
  </w:style>
  <w:style w:type="paragraph" w:styleId="Ttulo">
    <w:name w:val="Título"/>
    <w:basedOn w:val="Normal"/>
    <w:next w:val="Corpodotexto"/>
    <w:pPr>
      <w:keepNext/>
      <w:spacing w:before="240" w:after="120"/>
    </w:pPr>
    <w:rPr>
      <w:rFonts w:ascii="Liberation Sans" w:hAnsi="Liberation Sans" w:eastAsia="Lucida Sans Unicode"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Footnotetext">
    <w:name w:val="footnote text"/>
    <w:link w:val="TextodenotaderodapChar"/>
    <w:rsid w:val="00df51b1"/>
    <w:basedOn w:val="Normal"/>
    <w:pPr/>
    <w:rPr>
      <w:sz w:val="20"/>
      <w:szCs w:val="20"/>
    </w:rPr>
  </w:style>
  <w:style w:type="paragraph" w:styleId="NormalWeb">
    <w:name w:val="Normal (Web)"/>
    <w:uiPriority w:val="99"/>
    <w:rsid w:val="00df51b1"/>
    <w:basedOn w:val="Normal"/>
    <w:pPr>
      <w:suppressAutoHyphens w:val="false"/>
      <w:spacing w:before="280" w:after="280"/>
    </w:pPr>
    <w:rPr/>
  </w:style>
  <w:style w:type="paragraph" w:styleId="Notaderodap">
    <w:name w:val="Nota de rodapé"/>
    <w:basedOn w:val="Normal"/>
    <w:pPr/>
    <w:rPr/>
  </w:style>
  <w:style w:type="numbering" w:styleId="NoList" w:default="1">
    <w:name w:val="No List"/>
    <w:uiPriority w:val="99"/>
    <w:semiHidden/>
    <w:unhideWhenUsed/>
  </w:style>
  <w:style w:type="table" w:default="1" w:styleId="Tabela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2017-09-12T03:46:00Z</dcterms:created>
  <dc:creator>Edna</dc:creator>
  <dc:language>pt-BR</dc:language>
  <cp:lastModifiedBy>Edna</cp:lastModifiedBy>
  <dcterms:modified xsi:type="dcterms:W3CDTF">2017-09-12T04:15:00Z</dcterms:modified>
  <cp:revision>1</cp:revision>
</cp:coreProperties>
</file>