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331" w:rsidRDefault="00D83680">
      <w:pPr>
        <w:pStyle w:val="Heading1"/>
        <w:spacing w:before="100"/>
        <w:ind w:left="125" w:right="221"/>
        <w:jc w:val="center"/>
      </w:pPr>
      <w:r>
        <w:t xml:space="preserve"> RELAÇÃO ENTRE OS PRINCÍPIOS DO MÍNIMO EXISTENCIAL E A RESERVA DO POSSÍVEL E OS INSTRUMENTOS DE CONTROLE DE QUALIDADE DO AR</w:t>
      </w:r>
    </w:p>
    <w:p w:rsidR="000C1331" w:rsidRDefault="000C1331">
      <w:pPr>
        <w:pStyle w:val="Corpodetexto"/>
        <w:ind w:left="0"/>
        <w:rPr>
          <w:b/>
          <w:sz w:val="26"/>
        </w:rPr>
      </w:pPr>
    </w:p>
    <w:p w:rsidR="00266704" w:rsidRPr="00266704" w:rsidRDefault="00266704" w:rsidP="00266704">
      <w:pPr>
        <w:pStyle w:val="Corpodetexto"/>
        <w:jc w:val="center"/>
      </w:pPr>
      <w:r w:rsidRPr="00266704">
        <w:rPr>
          <w:lang/>
        </w:rPr>
        <w:t>RELATIONSHIP BETWEEN THE PRINCIPLES OF MINIMUM EXISTENTIAL AND POSSIBLE RESERVE AND AIR QUALITY CONTROL INSTRUMENTS</w:t>
      </w:r>
    </w:p>
    <w:p w:rsidR="000C1331" w:rsidRDefault="000C1331" w:rsidP="00266704">
      <w:pPr>
        <w:pStyle w:val="Corpodetexto"/>
        <w:ind w:left="0"/>
        <w:jc w:val="center"/>
        <w:rPr>
          <w:sz w:val="26"/>
        </w:rPr>
      </w:pPr>
    </w:p>
    <w:p w:rsidR="000C1331" w:rsidRDefault="00D83680">
      <w:pPr>
        <w:pStyle w:val="Heading1"/>
        <w:spacing w:before="224" w:line="360" w:lineRule="auto"/>
        <w:ind w:left="6620" w:right="235" w:firstLine="405"/>
        <w:jc w:val="right"/>
      </w:pPr>
      <w:proofErr w:type="spellStart"/>
      <w:r>
        <w:t>Kiwonghi</w:t>
      </w:r>
      <w:proofErr w:type="spellEnd"/>
      <w:r>
        <w:t xml:space="preserve"> Bizawu</w:t>
      </w:r>
      <w:r>
        <w:rPr>
          <w:vertAlign w:val="superscript"/>
        </w:rPr>
        <w:t>1</w:t>
      </w:r>
      <w:r>
        <w:rPr>
          <w:w w:val="97"/>
        </w:rPr>
        <w:t xml:space="preserve"> </w:t>
      </w:r>
      <w:r>
        <w:t>Renan Lucio Moreira</w:t>
      </w:r>
      <w:r>
        <w:rPr>
          <w:vertAlign w:val="superscript"/>
        </w:rPr>
        <w:t>2</w:t>
      </w:r>
    </w:p>
    <w:p w:rsidR="000C1331" w:rsidRDefault="00D83680">
      <w:pPr>
        <w:spacing w:before="174"/>
        <w:ind w:left="125" w:right="218"/>
        <w:jc w:val="center"/>
        <w:rPr>
          <w:b/>
          <w:sz w:val="24"/>
        </w:rPr>
      </w:pPr>
      <w:r>
        <w:rPr>
          <w:b/>
          <w:sz w:val="24"/>
        </w:rPr>
        <w:t>RESUMO</w:t>
      </w:r>
    </w:p>
    <w:p w:rsidR="000C1331" w:rsidRDefault="00D83680">
      <w:pPr>
        <w:pStyle w:val="Corpodetexto"/>
        <w:spacing w:before="129"/>
        <w:ind w:right="232"/>
        <w:jc w:val="both"/>
      </w:pPr>
      <w:r>
        <w:t xml:space="preserve">O presente trabalho tem por finalidade analisar a degradação da qualidade do ar nos grandes centros urbanos ocasionado pela continua emissão de gases e partículas </w:t>
      </w:r>
      <w:proofErr w:type="gramStart"/>
      <w:r>
        <w:t>poluentes na atmosfera devido</w:t>
      </w:r>
      <w:proofErr w:type="gramEnd"/>
      <w:r>
        <w:t xml:space="preserve"> o aumento de cir</w:t>
      </w:r>
      <w:r>
        <w:t xml:space="preserve">culação de veículos automotores e atividades </w:t>
      </w:r>
      <w:proofErr w:type="spellStart"/>
      <w:r>
        <w:t>antrópicas</w:t>
      </w:r>
      <w:proofErr w:type="spellEnd"/>
      <w:r>
        <w:t xml:space="preserve"> do cotidiano, que afetam diretamente a saúde humana acarretando graves doenças crônicas do sistema respiratório. Pretende-se analisar o dever do Estado de promover políticas públicas que visem </w:t>
      </w:r>
      <w:proofErr w:type="gramStart"/>
      <w:r>
        <w:t>a</w:t>
      </w:r>
      <w:proofErr w:type="gramEnd"/>
      <w:r>
        <w:t xml:space="preserve"> reduç</w:t>
      </w:r>
      <w:r>
        <w:t>ão dos riscos à saúde sobre a ótica dos princípios do mínimo existencial e reserva do possível, tendo em foco os instrumentos de proteção e monitoramento da qualidade do ar estabelecido pelas resoluções 005/1989 e 003/1990 do CONAMA, utilizando-se como met</w:t>
      </w:r>
      <w:r>
        <w:t>odologia de pesquisa o método</w:t>
      </w:r>
      <w:r>
        <w:rPr>
          <w:spacing w:val="-7"/>
        </w:rPr>
        <w:t xml:space="preserve"> </w:t>
      </w:r>
      <w:r>
        <w:t>indutivo.</w:t>
      </w:r>
    </w:p>
    <w:p w:rsidR="000C1331" w:rsidRDefault="00D83680">
      <w:pPr>
        <w:pStyle w:val="Corpodetexto"/>
        <w:spacing w:before="116"/>
      </w:pPr>
      <w:proofErr w:type="spellStart"/>
      <w:r>
        <w:rPr>
          <w:b/>
        </w:rPr>
        <w:t>Palavras-chave</w:t>
      </w:r>
      <w:proofErr w:type="spellEnd"/>
      <w:r>
        <w:rPr>
          <w:b/>
        </w:rPr>
        <w:t xml:space="preserve">: </w:t>
      </w:r>
      <w:r>
        <w:t>Instrumento; Qualidade do ar; Mínimo existencial; Reserva do</w:t>
      </w:r>
      <w:r>
        <w:rPr>
          <w:spacing w:val="-16"/>
        </w:rPr>
        <w:t xml:space="preserve"> </w:t>
      </w:r>
      <w:r>
        <w:t>possível.</w:t>
      </w:r>
    </w:p>
    <w:p w:rsidR="000C1331" w:rsidRDefault="000C1331">
      <w:pPr>
        <w:pStyle w:val="Corpodetexto"/>
        <w:spacing w:before="7"/>
        <w:ind w:left="0"/>
      </w:pPr>
    </w:p>
    <w:p w:rsidR="00266704" w:rsidRPr="00266704" w:rsidRDefault="00266704" w:rsidP="00266704">
      <w:pPr>
        <w:pStyle w:val="Heading1"/>
        <w:ind w:left="125" w:right="220"/>
        <w:jc w:val="center"/>
      </w:pPr>
      <w:r w:rsidRPr="00266704">
        <w:rPr>
          <w:lang/>
        </w:rPr>
        <w:t>ABSTRACT</w:t>
      </w:r>
    </w:p>
    <w:p w:rsidR="000C1331" w:rsidRDefault="000C1331">
      <w:pPr>
        <w:pStyle w:val="Heading1"/>
        <w:ind w:left="125" w:right="220"/>
        <w:jc w:val="center"/>
      </w:pPr>
    </w:p>
    <w:p w:rsidR="00266704" w:rsidRPr="00266704" w:rsidRDefault="00266704" w:rsidP="00266704">
      <w:pPr>
        <w:pStyle w:val="Corpodetexto"/>
        <w:spacing w:before="118"/>
        <w:ind w:left="125" w:right="246"/>
        <w:jc w:val="both"/>
      </w:pPr>
      <w:r w:rsidRPr="00266704">
        <w:rPr>
          <w:lang/>
        </w:rPr>
        <w:t>The present work aims to analyze the degradation of air quality in large urban centers caused by the continuous emission of gases and particulate pollutants in the atmosphere due to the increase in the circulation of automotive vehicles and human activities of daily life that directly affect human health causing serious chronic diseases of the respiratory system. The aim is to analyze the State's duty to promote public policies aimed at reducing health risks based on the principles of minimum existential and reserve of the possible, focusing on the instruments of protection and monitoring of air quality established by resolutions 005 / 1989 and 003/1990 of CONAMA, using as methodology of research the inductive method.</w:t>
      </w:r>
    </w:p>
    <w:p w:rsidR="00266704" w:rsidRPr="00266704" w:rsidRDefault="00266704" w:rsidP="00266704">
      <w:pPr>
        <w:pStyle w:val="Corpodetexto"/>
        <w:spacing w:before="118"/>
        <w:ind w:left="125" w:right="246"/>
        <w:rPr>
          <w:b/>
        </w:rPr>
      </w:pPr>
      <w:r w:rsidRPr="00266704">
        <w:rPr>
          <w:b/>
          <w:lang/>
        </w:rPr>
        <w:t xml:space="preserve">Keywords: </w:t>
      </w:r>
      <w:r w:rsidRPr="00266704">
        <w:rPr>
          <w:lang/>
        </w:rPr>
        <w:t>Instrument; Air quality; Minimum existential; Reservation of the possible</w:t>
      </w:r>
      <w:r w:rsidRPr="00266704">
        <w:rPr>
          <w:b/>
          <w:lang/>
        </w:rPr>
        <w:t>.</w:t>
      </w:r>
    </w:p>
    <w:p w:rsidR="000C1331" w:rsidRDefault="000C1331">
      <w:pPr>
        <w:pStyle w:val="Corpodetexto"/>
        <w:spacing w:before="118"/>
        <w:ind w:left="125" w:right="246"/>
        <w:jc w:val="center"/>
      </w:pPr>
    </w:p>
    <w:p w:rsidR="000C1331" w:rsidRDefault="000C1331">
      <w:pPr>
        <w:pStyle w:val="Corpodetexto"/>
        <w:ind w:left="0"/>
        <w:rPr>
          <w:sz w:val="20"/>
        </w:rPr>
      </w:pPr>
    </w:p>
    <w:p w:rsidR="000C1331" w:rsidRDefault="000C1331">
      <w:pPr>
        <w:pStyle w:val="Corpodetexto"/>
        <w:spacing w:before="5"/>
        <w:ind w:left="0"/>
        <w:rPr>
          <w:sz w:val="19"/>
        </w:rPr>
      </w:pPr>
      <w:r w:rsidRPr="000C1331">
        <w:pict>
          <v:line id="_x0000_s1026" style="position:absolute;z-index:-251658752;mso-wrap-distance-left:0;mso-wrap-distance-right:0;mso-position-horizontal-relative:page" from="85.1pt,13.55pt" to="229.1pt,13.55pt" strokeweight=".72pt">
            <w10:wrap type="topAndBottom" anchorx="page"/>
          </v:line>
        </w:pict>
      </w:r>
    </w:p>
    <w:p w:rsidR="000C1331" w:rsidRDefault="00D83680">
      <w:pPr>
        <w:spacing w:before="42"/>
        <w:ind w:left="142" w:right="234"/>
        <w:jc w:val="both"/>
        <w:rPr>
          <w:sz w:val="20"/>
        </w:rPr>
      </w:pPr>
      <w:proofErr w:type="gramStart"/>
      <w:r>
        <w:rPr>
          <w:position w:val="9"/>
          <w:sz w:val="13"/>
        </w:rPr>
        <w:t>1</w:t>
      </w:r>
      <w:proofErr w:type="gramEnd"/>
      <w:r>
        <w:rPr>
          <w:position w:val="9"/>
          <w:sz w:val="13"/>
        </w:rPr>
        <w:t xml:space="preserve"> </w:t>
      </w:r>
      <w:r>
        <w:rPr>
          <w:sz w:val="20"/>
        </w:rPr>
        <w:t>Doutor e Mestre em Direito Internacional pela Pontifícia Universidade Católica de Minas Gerais (PUC Minas). Professor de Direito Internacional Público e Privado. Pró-Reitor do Programa de Pós-Graduação em Direito. Professor de Metodologia de Pesquisa no Cu</w:t>
      </w:r>
      <w:r>
        <w:rPr>
          <w:sz w:val="20"/>
        </w:rPr>
        <w:t xml:space="preserve">rso de Mestrado em Direito Ambiental e Desenvolvimento Sustentável. </w:t>
      </w:r>
      <w:proofErr w:type="gramStart"/>
      <w:r>
        <w:rPr>
          <w:sz w:val="20"/>
        </w:rPr>
        <w:t>membro</w:t>
      </w:r>
      <w:proofErr w:type="gramEnd"/>
      <w:r>
        <w:rPr>
          <w:sz w:val="20"/>
        </w:rPr>
        <w:t xml:space="preserve"> do Grupo de Pesquisa Estratégica sobre a </w:t>
      </w:r>
      <w:proofErr w:type="spellStart"/>
      <w:r>
        <w:rPr>
          <w:sz w:val="20"/>
        </w:rPr>
        <w:t>PanAmazônia</w:t>
      </w:r>
      <w:proofErr w:type="spellEnd"/>
      <w:r>
        <w:rPr>
          <w:sz w:val="20"/>
        </w:rPr>
        <w:t xml:space="preserve"> da Escola Superior Dom Helder Câmara - Belo Horizonte - MG e Líder do Grupo de Pesquisa Direito dos Animais, Economia, Cultura, </w:t>
      </w:r>
      <w:r>
        <w:rPr>
          <w:sz w:val="20"/>
        </w:rPr>
        <w:t>Sustentabilidade e Desafios da Proteção Internacional e de Iniciação Científica Direito das Minorias no Estado Democrático de Direito: Efetividade jurisdicional dos direitos humanos da Escola Superior Dom Helder Câmara.</w:t>
      </w:r>
    </w:p>
    <w:p w:rsidR="000C1331" w:rsidRDefault="00D83680" w:rsidP="009E2A01">
      <w:pPr>
        <w:spacing w:before="1" w:line="230" w:lineRule="exact"/>
        <w:ind w:left="142" w:right="243"/>
        <w:jc w:val="both"/>
        <w:rPr>
          <w:sz w:val="20"/>
        </w:rPr>
      </w:pPr>
      <w:proofErr w:type="gramStart"/>
      <w:r>
        <w:rPr>
          <w:position w:val="9"/>
          <w:sz w:val="13"/>
        </w:rPr>
        <w:t>2</w:t>
      </w:r>
      <w:proofErr w:type="gramEnd"/>
      <w:r>
        <w:rPr>
          <w:position w:val="9"/>
          <w:sz w:val="13"/>
        </w:rPr>
        <w:t xml:space="preserve"> </w:t>
      </w:r>
      <w:r>
        <w:rPr>
          <w:sz w:val="20"/>
        </w:rPr>
        <w:t>Advogado, graduado em Direito pela</w:t>
      </w:r>
      <w:r>
        <w:rPr>
          <w:sz w:val="20"/>
        </w:rPr>
        <w:t xml:space="preserve"> Faculdade Dom Helder Câmara em 2013; Mestr</w:t>
      </w:r>
      <w:r w:rsidR="00266704">
        <w:rPr>
          <w:sz w:val="20"/>
        </w:rPr>
        <w:t>e</w:t>
      </w:r>
      <w:r>
        <w:rPr>
          <w:sz w:val="20"/>
        </w:rPr>
        <w:t xml:space="preserve"> em Direito Ambiental pela Faculdade Dom Helder Câmara.</w:t>
      </w:r>
    </w:p>
    <w:p w:rsidR="000C1331" w:rsidRDefault="000C1331">
      <w:pPr>
        <w:pStyle w:val="Corpodetexto"/>
        <w:ind w:left="0"/>
        <w:rPr>
          <w:sz w:val="20"/>
        </w:rPr>
      </w:pPr>
    </w:p>
    <w:p w:rsidR="000C1331" w:rsidRDefault="000C1331">
      <w:pPr>
        <w:pStyle w:val="Corpodetexto"/>
        <w:ind w:left="0"/>
        <w:rPr>
          <w:sz w:val="17"/>
        </w:rPr>
      </w:pPr>
    </w:p>
    <w:p w:rsidR="009E2A01" w:rsidRDefault="009E2A01">
      <w:pPr>
        <w:pStyle w:val="Heading1"/>
        <w:spacing w:before="90"/>
      </w:pPr>
    </w:p>
    <w:p w:rsidR="00266704" w:rsidRDefault="00266704">
      <w:pPr>
        <w:pStyle w:val="Heading1"/>
        <w:spacing w:before="90"/>
      </w:pPr>
    </w:p>
    <w:p w:rsidR="000C1331" w:rsidRDefault="00D83680">
      <w:pPr>
        <w:pStyle w:val="Heading1"/>
        <w:spacing w:before="90"/>
      </w:pPr>
      <w:r>
        <w:lastRenderedPageBreak/>
        <w:t>INTRODUÇÃO</w:t>
      </w:r>
    </w:p>
    <w:p w:rsidR="000C1331" w:rsidRDefault="000C1331">
      <w:pPr>
        <w:pStyle w:val="Corpodetexto"/>
        <w:spacing w:before="8"/>
        <w:ind w:left="0"/>
        <w:rPr>
          <w:b/>
          <w:sz w:val="26"/>
        </w:rPr>
      </w:pPr>
    </w:p>
    <w:p w:rsidR="000C1331" w:rsidRDefault="00D83680">
      <w:pPr>
        <w:pStyle w:val="Corpodetexto"/>
        <w:spacing w:line="360" w:lineRule="auto"/>
        <w:ind w:right="234" w:firstLine="851"/>
        <w:jc w:val="both"/>
      </w:pPr>
      <w:r>
        <w:t>O princípio do mínimo existencial</w:t>
      </w:r>
      <w:proofErr w:type="gramStart"/>
      <w:r>
        <w:t>, consubstancia-se</w:t>
      </w:r>
      <w:proofErr w:type="gramEnd"/>
      <w:r>
        <w:t xml:space="preserve"> no dever do Estado de promover Políticas Públicas de cunho social, prop</w:t>
      </w:r>
      <w:r>
        <w:t>orcionando a todos os seus cidadãos condições mínimas para uma vida com dignidade. Assim, o legislador brasileiro reconheceu um conjunto de direitos sociais fundamentais no art. 6° da CRFB/1988, que constitui o núcleo básico do princípio da dignidade da pe</w:t>
      </w:r>
      <w:r>
        <w:t>ssoa humana, consagrado como um dos fundamentos da República Federativa do Estado Democrático de Direito, não podendo o Estado deixar de prestá-los alegando a escassez de recursos financeiros sob pena de ferir o próprio Estado Democrático de</w:t>
      </w:r>
      <w:r>
        <w:rPr>
          <w:spacing w:val="-5"/>
        </w:rPr>
        <w:t xml:space="preserve"> </w:t>
      </w:r>
      <w:r>
        <w:t>Direito.</w:t>
      </w:r>
    </w:p>
    <w:p w:rsidR="000C1331" w:rsidRDefault="00D83680">
      <w:pPr>
        <w:pStyle w:val="Corpodetexto"/>
        <w:spacing w:line="360" w:lineRule="auto"/>
        <w:ind w:right="232" w:firstLine="851"/>
        <w:jc w:val="both"/>
      </w:pPr>
      <w:r>
        <w:t>Desta</w:t>
      </w:r>
      <w:r>
        <w:t xml:space="preserve"> forma, o direito à saúde foi consagrado como um direito fundamental do cidadão, sendo, portanto, dever do Estado para garanti-lo mediante políticas públicas que visem à redução dos riscos de doenças e de outros agravos. Neste contexto, a degradação da qua</w:t>
      </w:r>
      <w:r>
        <w:t xml:space="preserve">lidade do ar nos grandes centros urbanos é um dos fatores de maior ameaça à saúde humana devido </w:t>
      </w:r>
      <w:proofErr w:type="gramStart"/>
      <w:r>
        <w:t>a</w:t>
      </w:r>
      <w:proofErr w:type="gramEnd"/>
      <w:r>
        <w:t xml:space="preserve"> grande rotatividade de veículos automotores e outras atividades </w:t>
      </w:r>
      <w:proofErr w:type="spellStart"/>
      <w:r>
        <w:t>antrópicas</w:t>
      </w:r>
      <w:proofErr w:type="spellEnd"/>
      <w:r>
        <w:t xml:space="preserve"> que constantemente emitem poluentes na atmosfera, desencadeando graves doenças ao s</w:t>
      </w:r>
      <w:r>
        <w:t>istema respiratório não só humano, mas também de outras espécies</w:t>
      </w:r>
      <w:r>
        <w:rPr>
          <w:spacing w:val="-4"/>
        </w:rPr>
        <w:t xml:space="preserve"> </w:t>
      </w:r>
      <w:r>
        <w:t>animal.</w:t>
      </w:r>
    </w:p>
    <w:p w:rsidR="000C1331" w:rsidRDefault="00D83680">
      <w:pPr>
        <w:pStyle w:val="Corpodetexto"/>
        <w:spacing w:line="360" w:lineRule="auto"/>
        <w:ind w:right="234" w:firstLine="851"/>
        <w:jc w:val="both"/>
      </w:pPr>
      <w:r>
        <w:t xml:space="preserve">Visando reduzir os riscos à saúde ocasionados pela má qualidade do ar, o Conselho Nacional do Meio Ambiente (CONAMA), criou em 1989 o Programa Nacional de Controle de Qualidade do Ar </w:t>
      </w:r>
      <w:r>
        <w:t>(PRONAR), por meio da resolução CONAMA 005, de 15 de junho de 1989, definindo-o como um dos instrumentos básicos da gestão ambiental para limitar os níveis de emissão de poluentes por fontes de poluição atmosférica com vistas a uma melhoria na qualidade do</w:t>
      </w:r>
      <w:r>
        <w:rPr>
          <w:spacing w:val="-4"/>
        </w:rPr>
        <w:t xml:space="preserve"> </w:t>
      </w:r>
      <w:r>
        <w:t>ar.</w:t>
      </w:r>
    </w:p>
    <w:p w:rsidR="000C1331" w:rsidRDefault="00D83680" w:rsidP="009E2A01">
      <w:pPr>
        <w:pStyle w:val="Corpodetexto"/>
        <w:spacing w:before="1" w:line="360" w:lineRule="auto"/>
        <w:ind w:right="234" w:firstLine="851"/>
        <w:jc w:val="both"/>
        <w:sectPr w:rsidR="000C1331">
          <w:pgSz w:w="11910" w:h="16840"/>
          <w:pgMar w:top="1580" w:right="1180" w:bottom="280" w:left="1560" w:header="720" w:footer="720" w:gutter="0"/>
          <w:cols w:space="720"/>
        </w:sectPr>
      </w:pPr>
      <w:r>
        <w:t>No ano seguinte à criação do PRONAR, o CONAMA editou uma nova resolução com o objetivo de dar mais eficácia ao programa nacional de controle de qualidade do ar, passando a vigorar em 28 de Junho de 1990 a resolução CONAMA 003, que foi um grande avanço</w:t>
      </w:r>
      <w:r>
        <w:t xml:space="preserve"> na política nacional de proteção a qualidade do ar, uma vez que tal resolução estabeleceu quais os tipos de poluentes deveriam ser constantemente monitorados, bem como, estipulando a quantidade máxima de poluentes poderiam ser expelidos na atmosfera de fo</w:t>
      </w:r>
      <w:r>
        <w:t xml:space="preserve">rma regional, definindo ainda, a competência para a </w:t>
      </w:r>
      <w:proofErr w:type="gramStart"/>
      <w:r>
        <w:t>implementação</w:t>
      </w:r>
      <w:proofErr w:type="gramEnd"/>
      <w:r>
        <w:t xml:space="preserve"> dos instrumentos de proteção a qualidade do ar, e determinando a elaboração de planos emergenciais.</w:t>
      </w:r>
    </w:p>
    <w:p w:rsidR="000C1331" w:rsidRDefault="00D83680">
      <w:pPr>
        <w:pStyle w:val="Corpodetexto"/>
        <w:spacing w:before="98" w:line="360" w:lineRule="auto"/>
        <w:ind w:right="234" w:firstLine="911"/>
        <w:jc w:val="both"/>
      </w:pPr>
      <w:r>
        <w:lastRenderedPageBreak/>
        <w:t>Assim, a questão que se levanta é se o ar que respiramos atende ou não aos padrões mínimos de qualidade estipulados pelas resoluções CONOMA, 005/1989 e 003/1990, garantindo um mínimo existencial.</w:t>
      </w:r>
    </w:p>
    <w:p w:rsidR="000C1331" w:rsidRDefault="00D83680">
      <w:pPr>
        <w:pStyle w:val="Corpodetexto"/>
        <w:spacing w:line="360" w:lineRule="auto"/>
        <w:ind w:right="235" w:firstLine="851"/>
        <w:jc w:val="both"/>
      </w:pPr>
      <w:r>
        <w:t>Desse modo, o presente estudo objetiva analisar a degradação da qualidade do ar nos grandes centros urbanos ocasionado pela continua emissão de gases e partículas poluentes, considerando o grande fluxo de veículos nas zonas urbanas. O transporte é um dos g</w:t>
      </w:r>
      <w:r>
        <w:t>randes responsáveis da degradação da qualidade do ar.</w:t>
      </w:r>
    </w:p>
    <w:p w:rsidR="000C1331" w:rsidRDefault="00D83680">
      <w:pPr>
        <w:pStyle w:val="Corpodetexto"/>
        <w:spacing w:line="360" w:lineRule="auto"/>
        <w:ind w:right="239" w:firstLine="851"/>
        <w:jc w:val="both"/>
      </w:pPr>
      <w:r>
        <w:t xml:space="preserve">O trabalho será desenvolvido em duas partes principais. A primeira abarca na compreensão do princípio do mínimo existencial, de modo a possibilitar a análise do princípio da dignidade humana. A segunda </w:t>
      </w:r>
      <w:r>
        <w:t>parte se refere à reserva legal e á qualidade do ar.</w:t>
      </w:r>
    </w:p>
    <w:p w:rsidR="000C1331" w:rsidRDefault="00D83680">
      <w:pPr>
        <w:pStyle w:val="Corpodetexto"/>
        <w:spacing w:line="276" w:lineRule="exact"/>
        <w:ind w:left="994"/>
      </w:pPr>
      <w:r>
        <w:t>Utilizar-se-á o método de pesquisa qualitativa assentado na pesquisa descritiva.</w:t>
      </w:r>
    </w:p>
    <w:p w:rsidR="000C1331" w:rsidRDefault="000C1331">
      <w:pPr>
        <w:pStyle w:val="Corpodetexto"/>
        <w:ind w:left="0"/>
        <w:rPr>
          <w:sz w:val="26"/>
        </w:rPr>
      </w:pPr>
    </w:p>
    <w:p w:rsidR="000C1331" w:rsidRDefault="000C1331">
      <w:pPr>
        <w:pStyle w:val="Corpodetexto"/>
        <w:spacing w:before="4"/>
        <w:ind w:left="0"/>
        <w:rPr>
          <w:sz w:val="22"/>
        </w:rPr>
      </w:pPr>
    </w:p>
    <w:p w:rsidR="000C1331" w:rsidRDefault="00D83680">
      <w:pPr>
        <w:pStyle w:val="Heading1"/>
        <w:numPr>
          <w:ilvl w:val="0"/>
          <w:numId w:val="1"/>
        </w:numPr>
        <w:tabs>
          <w:tab w:val="left" w:pos="426"/>
        </w:tabs>
        <w:spacing w:before="1"/>
        <w:ind w:hanging="283"/>
      </w:pPr>
      <w:r>
        <w:t>DO PRINCÍPIO DO MÍNIMO</w:t>
      </w:r>
      <w:r>
        <w:rPr>
          <w:spacing w:val="-1"/>
        </w:rPr>
        <w:t xml:space="preserve"> </w:t>
      </w:r>
      <w:r>
        <w:t>EXISTENCIAL</w:t>
      </w:r>
    </w:p>
    <w:p w:rsidR="000C1331" w:rsidRDefault="000C1331">
      <w:pPr>
        <w:pStyle w:val="Corpodetexto"/>
        <w:spacing w:before="5"/>
        <w:ind w:left="0"/>
        <w:rPr>
          <w:b/>
          <w:sz w:val="26"/>
        </w:rPr>
      </w:pPr>
    </w:p>
    <w:p w:rsidR="000C1331" w:rsidRDefault="00D83680">
      <w:pPr>
        <w:pStyle w:val="Corpodetexto"/>
        <w:spacing w:line="360" w:lineRule="auto"/>
        <w:ind w:right="233" w:firstLine="851"/>
        <w:jc w:val="both"/>
      </w:pPr>
      <w:r>
        <w:t xml:space="preserve">É possível afirmar que a noção de direitos e garantias fundamentais de cunho </w:t>
      </w:r>
      <w:proofErr w:type="spellStart"/>
      <w:r>
        <w:t>prestac</w:t>
      </w:r>
      <w:r>
        <w:t>ional</w:t>
      </w:r>
      <w:proofErr w:type="spellEnd"/>
      <w:r>
        <w:t xml:space="preserve"> social, surge na Alemanha com a entrada em vigor da Lei Fundamental de 1949, que dispõe sobre um dever do Estado na prestação de recursos materiais que assegurem uma vida com dignidade. Nesse sentido, </w:t>
      </w:r>
      <w:proofErr w:type="spellStart"/>
      <w:r>
        <w:t>Bachof</w:t>
      </w:r>
      <w:proofErr w:type="spellEnd"/>
      <w:r>
        <w:t xml:space="preserve"> considerou que:</w:t>
      </w:r>
    </w:p>
    <w:p w:rsidR="000C1331" w:rsidRDefault="000C1331">
      <w:pPr>
        <w:pStyle w:val="Corpodetexto"/>
        <w:spacing w:before="1"/>
        <w:ind w:left="0"/>
        <w:rPr>
          <w:sz w:val="36"/>
        </w:rPr>
      </w:pPr>
    </w:p>
    <w:p w:rsidR="000C1331" w:rsidRDefault="00D83680">
      <w:pPr>
        <w:ind w:left="2410" w:right="233"/>
        <w:jc w:val="both"/>
        <w:rPr>
          <w:sz w:val="20"/>
        </w:rPr>
      </w:pPr>
      <w:r>
        <w:rPr>
          <w:sz w:val="20"/>
        </w:rPr>
        <w:t>[...] o princípio da dign</w:t>
      </w:r>
      <w:r>
        <w:rPr>
          <w:sz w:val="20"/>
        </w:rPr>
        <w:t xml:space="preserve">idade da pessoa humana (art.1º, inc. I, da Lei Fundamental da Alemanha) não reclama apenas a garantia de liberdade, mas também um mínimo de segurança social, já que, sem os recursos materiais para uma existência digna, a própria dignidade da pessoa humana </w:t>
      </w:r>
      <w:r>
        <w:rPr>
          <w:sz w:val="20"/>
        </w:rPr>
        <w:t xml:space="preserve">ficaria sacrificada. Por esta razão, o direito a vida e a integridade corporal (art. 2º, inc. II, da LF) não </w:t>
      </w:r>
      <w:proofErr w:type="gramStart"/>
      <w:r>
        <w:rPr>
          <w:sz w:val="20"/>
        </w:rPr>
        <w:t>pode ser concebido</w:t>
      </w:r>
      <w:proofErr w:type="gramEnd"/>
      <w:r>
        <w:rPr>
          <w:sz w:val="20"/>
        </w:rPr>
        <w:t xml:space="preserve"> meramente como proibição de destruição da existência, isto é, como direito de defesa, impondo, ao revés, também uma postura ativ</w:t>
      </w:r>
      <w:r>
        <w:rPr>
          <w:sz w:val="20"/>
        </w:rPr>
        <w:t>a no sentido de garantir a vida (BACHOF, apud, FIGUEIREDO E SARLET; 2007, p. 179).</w:t>
      </w:r>
    </w:p>
    <w:p w:rsidR="000C1331" w:rsidRDefault="000C1331">
      <w:pPr>
        <w:pStyle w:val="Corpodetexto"/>
        <w:ind w:left="0"/>
        <w:rPr>
          <w:sz w:val="22"/>
        </w:rPr>
      </w:pPr>
    </w:p>
    <w:p w:rsidR="000C1331" w:rsidRDefault="00D83680">
      <w:pPr>
        <w:pStyle w:val="Corpodetexto"/>
        <w:spacing w:before="163" w:line="360" w:lineRule="auto"/>
        <w:ind w:right="232" w:firstLine="851"/>
        <w:jc w:val="both"/>
      </w:pPr>
      <w:r>
        <w:t>Assim, surge na Alemanha o princípio do mínimo existencial, que incumbi o Estado o dever de prestar assistência de cunho material e social aos mais necessitados, proporcionando condições mínimas para uma existência com dignidade. A esse respeito, Figueired</w:t>
      </w:r>
      <w:r>
        <w:t xml:space="preserve">o e </w:t>
      </w:r>
      <w:proofErr w:type="spellStart"/>
      <w:r>
        <w:t>Sarlet</w:t>
      </w:r>
      <w:proofErr w:type="spellEnd"/>
      <w:r>
        <w:t>:</w:t>
      </w:r>
    </w:p>
    <w:p w:rsidR="000C1331" w:rsidRDefault="000C1331">
      <w:pPr>
        <w:pStyle w:val="Corpodetexto"/>
        <w:spacing w:before="9"/>
        <w:ind w:left="0"/>
        <w:rPr>
          <w:sz w:val="35"/>
        </w:rPr>
      </w:pPr>
    </w:p>
    <w:p w:rsidR="000C1331" w:rsidRDefault="00D83680">
      <w:pPr>
        <w:ind w:left="2410" w:right="233"/>
        <w:jc w:val="both"/>
        <w:rPr>
          <w:sz w:val="20"/>
        </w:rPr>
      </w:pPr>
      <w:r>
        <w:rPr>
          <w:sz w:val="20"/>
        </w:rPr>
        <w:t>[...] certamente a assistência aos necessitados integra as obrigações essenciais de um Estado Social. [...] Isso inclui, necessariamente, a assistência social aos cidadãos, que, em virtude de sua precária condição física e mental, encontram-se</w:t>
      </w:r>
      <w:r>
        <w:rPr>
          <w:sz w:val="20"/>
        </w:rPr>
        <w:t xml:space="preserve"> limitados nas suas atividades sociais, não apresentando condições de prover sua</w:t>
      </w:r>
    </w:p>
    <w:p w:rsidR="000C1331" w:rsidRDefault="000C1331">
      <w:pPr>
        <w:jc w:val="both"/>
        <w:rPr>
          <w:sz w:val="20"/>
        </w:rPr>
        <w:sectPr w:rsidR="000C1331">
          <w:pgSz w:w="11910" w:h="16840"/>
          <w:pgMar w:top="1580" w:right="1180" w:bottom="280" w:left="1560" w:header="720" w:footer="720" w:gutter="0"/>
          <w:cols w:space="720"/>
        </w:sectPr>
      </w:pPr>
    </w:p>
    <w:p w:rsidR="000C1331" w:rsidRDefault="00D83680">
      <w:pPr>
        <w:spacing w:before="97"/>
        <w:ind w:left="2410" w:right="237"/>
        <w:jc w:val="both"/>
        <w:rPr>
          <w:sz w:val="20"/>
        </w:rPr>
      </w:pPr>
      <w:proofErr w:type="gramStart"/>
      <w:r>
        <w:rPr>
          <w:sz w:val="20"/>
        </w:rPr>
        <w:lastRenderedPageBreak/>
        <w:t>própria</w:t>
      </w:r>
      <w:proofErr w:type="gramEnd"/>
      <w:r>
        <w:rPr>
          <w:sz w:val="20"/>
        </w:rPr>
        <w:t xml:space="preserve"> subsistência. A comunidade estatal deve assegurar-lhe pelo menos as condições mínimas para uma existência digna e envidar os esforços necessários para in</w:t>
      </w:r>
      <w:r>
        <w:rPr>
          <w:sz w:val="20"/>
        </w:rPr>
        <w:t xml:space="preserve">tegrar estas pessoas na comunidade, fomentando seu acompanhamento e apoio na família ou por terceiros, bem como criando as indispensáveis instituições assistenciais (FIGUEIREDO E SARLET; </w:t>
      </w:r>
      <w:proofErr w:type="gramStart"/>
      <w:r>
        <w:rPr>
          <w:sz w:val="20"/>
        </w:rPr>
        <w:t>2007, p.</w:t>
      </w:r>
      <w:proofErr w:type="gramEnd"/>
      <w:r>
        <w:rPr>
          <w:sz w:val="20"/>
        </w:rPr>
        <w:t xml:space="preserve"> 179).</w:t>
      </w:r>
    </w:p>
    <w:p w:rsidR="000C1331" w:rsidRDefault="000C1331">
      <w:pPr>
        <w:pStyle w:val="Corpodetexto"/>
        <w:ind w:left="0"/>
        <w:rPr>
          <w:sz w:val="22"/>
        </w:rPr>
      </w:pPr>
    </w:p>
    <w:p w:rsidR="000C1331" w:rsidRDefault="00D83680">
      <w:pPr>
        <w:pStyle w:val="Corpodetexto"/>
        <w:spacing w:before="160" w:line="360" w:lineRule="auto"/>
        <w:ind w:right="233" w:firstLine="851"/>
        <w:jc w:val="both"/>
      </w:pPr>
      <w:r>
        <w:t xml:space="preserve">Depreende-se desse princípio que, cada indivíduo tem </w:t>
      </w:r>
      <w:r>
        <w:t xml:space="preserve">o direito fundamental de levar uma vida com um mínimo de decência que corresponda ao núcleo básico do princípio da dignidade da pessoa humana, por essa razão, é dever do Estado proporcionar meios que garanta a existência digna. De outro modo, a existência </w:t>
      </w:r>
      <w:r>
        <w:t>digna que se extrai do princípio do mínimo existencial não deve ser interpretada apenas como mera prestação do Estado de assistência às necessidades fisiológica, mas também, que seja capaz de proporcionar aos cidadãos o desenvolvimento do seu potencial par</w:t>
      </w:r>
      <w:r>
        <w:t xml:space="preserve">a se integrar de forma digna ao meio social. Nesse diapasão, Figueiredo e </w:t>
      </w:r>
      <w:proofErr w:type="spellStart"/>
      <w:r>
        <w:t>Sarlet</w:t>
      </w:r>
      <w:proofErr w:type="spellEnd"/>
      <w:r>
        <w:t xml:space="preserve"> definem:</w:t>
      </w:r>
    </w:p>
    <w:p w:rsidR="000C1331" w:rsidRDefault="00D83680">
      <w:pPr>
        <w:pStyle w:val="Corpodetexto"/>
        <w:spacing w:before="1" w:line="360" w:lineRule="auto"/>
        <w:ind w:right="234" w:firstLine="851"/>
        <w:jc w:val="both"/>
      </w:pPr>
      <w:r>
        <w:t xml:space="preserve">De qualquer modo, tem-se como certo que a garantia efetiva de uma existência digna mais do que uma garantia da mera sobrevivência física, situando-se, portanto, além </w:t>
      </w:r>
      <w:r>
        <w:t xml:space="preserve">do limite da pobreza absoluta. Sustenta-se, nesta perspectiva que uma vida sem alternativas não corresponde às exigências da dignidade da pessoa humana, a vida humana não pode ser reduzida à mera existência (FIGUEIREDO E SARLET; </w:t>
      </w:r>
      <w:proofErr w:type="gramStart"/>
      <w:r>
        <w:t>2007, p.</w:t>
      </w:r>
      <w:proofErr w:type="gramEnd"/>
      <w:r>
        <w:rPr>
          <w:spacing w:val="-6"/>
        </w:rPr>
        <w:t xml:space="preserve"> </w:t>
      </w:r>
      <w:r>
        <w:t>180).</w:t>
      </w:r>
    </w:p>
    <w:p w:rsidR="000C1331" w:rsidRDefault="00D83680">
      <w:pPr>
        <w:pStyle w:val="Corpodetexto"/>
        <w:spacing w:before="2"/>
        <w:ind w:left="994"/>
      </w:pPr>
      <w:r>
        <w:t xml:space="preserve">Nesse mesmo </w:t>
      </w:r>
      <w:r>
        <w:t xml:space="preserve">sentido enfatiza Heinrich </w:t>
      </w:r>
      <w:proofErr w:type="spellStart"/>
      <w:r>
        <w:t>Scholler</w:t>
      </w:r>
      <w:proofErr w:type="spellEnd"/>
      <w:r>
        <w:t>:</w:t>
      </w:r>
    </w:p>
    <w:p w:rsidR="000C1331" w:rsidRDefault="000C1331">
      <w:pPr>
        <w:pStyle w:val="Corpodetexto"/>
        <w:ind w:left="0"/>
        <w:rPr>
          <w:sz w:val="26"/>
        </w:rPr>
      </w:pPr>
    </w:p>
    <w:p w:rsidR="000C1331" w:rsidRDefault="000C1331">
      <w:pPr>
        <w:pStyle w:val="Corpodetexto"/>
        <w:spacing w:before="10"/>
        <w:ind w:left="0"/>
        <w:rPr>
          <w:sz w:val="21"/>
        </w:rPr>
      </w:pPr>
    </w:p>
    <w:p w:rsidR="000C1331" w:rsidRDefault="00D83680">
      <w:pPr>
        <w:ind w:left="2410" w:right="240"/>
        <w:jc w:val="both"/>
        <w:rPr>
          <w:sz w:val="20"/>
        </w:rPr>
      </w:pPr>
      <w:r>
        <w:rPr>
          <w:sz w:val="20"/>
        </w:rPr>
        <w:t>[...] a dignidade da pessoa humana apenas estará assegurada quando for possível uma existência que permita a plena fruição dos direitos fundamentais, de modo especial, quando seja possível o pleno desenvolvimento da pe</w:t>
      </w:r>
      <w:r>
        <w:rPr>
          <w:sz w:val="20"/>
        </w:rPr>
        <w:t xml:space="preserve">rsonalidade (SCHOLLER, apud, FIGUEIREDO E SARLET; </w:t>
      </w:r>
      <w:proofErr w:type="gramStart"/>
      <w:r>
        <w:rPr>
          <w:sz w:val="20"/>
        </w:rPr>
        <w:t>2007, p.</w:t>
      </w:r>
      <w:proofErr w:type="gramEnd"/>
      <w:r>
        <w:rPr>
          <w:sz w:val="20"/>
        </w:rPr>
        <w:t xml:space="preserve"> 180).</w:t>
      </w:r>
    </w:p>
    <w:p w:rsidR="000C1331" w:rsidRDefault="000C1331">
      <w:pPr>
        <w:pStyle w:val="Corpodetexto"/>
        <w:ind w:left="0"/>
        <w:rPr>
          <w:sz w:val="22"/>
        </w:rPr>
      </w:pPr>
    </w:p>
    <w:p w:rsidR="000C1331" w:rsidRDefault="00D83680">
      <w:pPr>
        <w:pStyle w:val="Corpodetexto"/>
        <w:spacing w:before="160" w:line="360" w:lineRule="auto"/>
        <w:ind w:right="231" w:firstLine="851"/>
        <w:jc w:val="both"/>
      </w:pPr>
      <w:r>
        <w:t>No Brasil, a dignidade da pessoa humana esta inserida no ordenamento jurídico como um dos fundamentos do Estado Democrático de Direito no art.1º da Constituição da República Federal de 1988. Por sua vez, o legislador brasileiro optou por estabelecer direit</w:t>
      </w:r>
      <w:r>
        <w:t>os e garantias fundamentais sociais expressamente ao longo de todo o corpo constitucional, especificando o dever do Estado de prover políticas públicas de cunho social, bem como de prestar assistência aos menos favorecidos conforme disposto no art. 6º da C</w:t>
      </w:r>
      <w:r>
        <w:t>RFB de 1988:</w:t>
      </w:r>
    </w:p>
    <w:p w:rsidR="000C1331" w:rsidRDefault="000C1331">
      <w:pPr>
        <w:pStyle w:val="Corpodetexto"/>
        <w:ind w:left="0"/>
        <w:rPr>
          <w:sz w:val="36"/>
        </w:rPr>
      </w:pPr>
    </w:p>
    <w:p w:rsidR="000C1331" w:rsidRDefault="00D83680" w:rsidP="009E2A01">
      <w:pPr>
        <w:ind w:left="2410" w:right="238"/>
        <w:jc w:val="both"/>
        <w:rPr>
          <w:sz w:val="20"/>
        </w:rPr>
      </w:pPr>
      <w:r>
        <w:rPr>
          <w:sz w:val="20"/>
        </w:rPr>
        <w:t xml:space="preserve">Art. 6º São direitos sociais a educação, a saúde, a alimentação, o trabalho, a moradia, o lazer, a segurança, a previdência social, a proteção à maternidade e à infância, a assistência aos desamparados, na forma desta constituição (BRASIL. </w:t>
      </w:r>
      <w:proofErr w:type="gramStart"/>
      <w:r>
        <w:rPr>
          <w:sz w:val="20"/>
        </w:rPr>
        <w:t>Co</w:t>
      </w:r>
      <w:r>
        <w:rPr>
          <w:sz w:val="20"/>
        </w:rPr>
        <w:t>nstituição, 1988)</w:t>
      </w:r>
      <w:proofErr w:type="gramEnd"/>
      <w:r>
        <w:rPr>
          <w:sz w:val="20"/>
        </w:rPr>
        <w:t>.</w:t>
      </w:r>
    </w:p>
    <w:p w:rsidR="000C1331" w:rsidRDefault="00D83680">
      <w:pPr>
        <w:pStyle w:val="Corpodetexto"/>
        <w:spacing w:before="98" w:line="360" w:lineRule="auto"/>
        <w:ind w:right="235" w:firstLine="851"/>
        <w:jc w:val="both"/>
      </w:pPr>
      <w:r>
        <w:t xml:space="preserve">Desta maneira, compreende-se que o princípio do mínimo existencial é uma semente germinada no seio do princípio da dignidade da pessoa humana, uma vez que </w:t>
      </w:r>
      <w:proofErr w:type="gramStart"/>
      <w:r>
        <w:t>compõe</w:t>
      </w:r>
      <w:proofErr w:type="gramEnd"/>
      <w:r>
        <w:t xml:space="preserve"> seu núcleo básico, tendo por objetivo fazer com que o Estado </w:t>
      </w:r>
      <w:r>
        <w:t xml:space="preserve">cumpra seu dever </w:t>
      </w:r>
      <w:r>
        <w:lastRenderedPageBreak/>
        <w:t>social de prestar assistência aos menos favorecidos, garantindo-lhes uma vida com um mínimo de dignidade, prestando auxilio não apenas de cunho material, mas promovendo meios de integração social e cultural de seus cidadãos, Ana Paula de B</w:t>
      </w:r>
      <w:r>
        <w:t>arcellos (2002), sustenta que:</w:t>
      </w:r>
    </w:p>
    <w:p w:rsidR="000C1331" w:rsidRDefault="00D83680">
      <w:pPr>
        <w:pStyle w:val="Corpodetexto"/>
        <w:spacing w:line="360" w:lineRule="auto"/>
        <w:ind w:right="231" w:firstLine="851"/>
        <w:jc w:val="both"/>
      </w:pPr>
      <w:r>
        <w:t xml:space="preserve">O princípio da dignidade da pessoa humana, que assegura, em termos gerais, que todas as pessoas tenham uma vida digna, embora seja de efeito um tanto indeterminado, tem “um conteúdo básico, sem o qual se poderá afirmar que o </w:t>
      </w:r>
      <w:r>
        <w:t>princípio foi violado e que assume caráter de regra e não mais de princípio. Esse núcleo no tocante aos elementos materiais da dignidade é composto pelo mínimo existencial que consiste em um conjunto de prestações materiais mínimas sem as quais poderá afir</w:t>
      </w:r>
      <w:r>
        <w:t>mar que o individuo se encontra em situação de indignidade” (BARCELLOS, 2002, p.</w:t>
      </w:r>
      <w:r>
        <w:rPr>
          <w:spacing w:val="-5"/>
        </w:rPr>
        <w:t xml:space="preserve"> </w:t>
      </w:r>
      <w:r>
        <w:t>304-305).</w:t>
      </w:r>
    </w:p>
    <w:p w:rsidR="000C1331" w:rsidRDefault="00D83680">
      <w:pPr>
        <w:pStyle w:val="Corpodetexto"/>
        <w:spacing w:before="1" w:line="360" w:lineRule="auto"/>
        <w:ind w:right="236" w:firstLine="851"/>
        <w:jc w:val="both"/>
      </w:pPr>
      <w:r>
        <w:t>Nesse mesmo sentido, já decidiu o Supremo Tribunal Federal nos processos em que esta em jogo o mínimo existencial:</w:t>
      </w:r>
    </w:p>
    <w:p w:rsidR="000C1331" w:rsidRDefault="00D83680">
      <w:pPr>
        <w:pStyle w:val="Corpodetexto"/>
        <w:spacing w:line="360" w:lineRule="auto"/>
        <w:ind w:right="232" w:firstLine="851"/>
        <w:jc w:val="both"/>
      </w:pPr>
      <w:r>
        <w:t>O mínimo existencial diz respeito ao núcleo básico</w:t>
      </w:r>
      <w:r>
        <w:t xml:space="preserve"> da dignidade da pessoa humana assegurado por um extenso elenco de direitos fundamentais sociais, tais como direitos à educação fundamental, à saúde básica, à assistência social, ao acesso à justiça, à moradia, ao trabalho, ao salário mínimo, á proteção a </w:t>
      </w:r>
      <w:r>
        <w:t>maternidade e à infância (RE n. 482.611, Santa Catarina, Rel. Min. Celso de</w:t>
      </w:r>
      <w:r>
        <w:rPr>
          <w:spacing w:val="1"/>
        </w:rPr>
        <w:t xml:space="preserve"> </w:t>
      </w:r>
      <w:r>
        <w:t>Melo).</w:t>
      </w:r>
    </w:p>
    <w:p w:rsidR="000C1331" w:rsidRDefault="00D83680">
      <w:pPr>
        <w:pStyle w:val="Corpodetexto"/>
        <w:spacing w:line="360" w:lineRule="auto"/>
        <w:ind w:right="233" w:firstLine="851"/>
        <w:jc w:val="both"/>
      </w:pPr>
      <w:r>
        <w:t xml:space="preserve">No entanto, apesar ser dever do Estado promover a implementação de políticas públicas de assistência material para uma vida digna, essa obrigação </w:t>
      </w:r>
      <w:proofErr w:type="spellStart"/>
      <w:r>
        <w:t>prestacional</w:t>
      </w:r>
      <w:proofErr w:type="spellEnd"/>
      <w:r>
        <w:t xml:space="preserve"> demanda </w:t>
      </w:r>
      <w:proofErr w:type="gramStart"/>
      <w:r>
        <w:t>vultuo</w:t>
      </w:r>
      <w:r>
        <w:t>sos</w:t>
      </w:r>
      <w:proofErr w:type="gramEnd"/>
      <w:r>
        <w:t xml:space="preserve"> recursos financeiros, o que na maioria da vezes faz com que a administração pública tenha de optar por qual política pública de cunho social implementar devido a escassez de seus recurso, desenvolvendo na Alemanha, em contraponto ao princípio do mínimo</w:t>
      </w:r>
      <w:r>
        <w:t xml:space="preserve"> existencial o princípio da reserva do possível.</w:t>
      </w:r>
    </w:p>
    <w:p w:rsidR="000C1331" w:rsidRDefault="000C1331">
      <w:pPr>
        <w:pStyle w:val="Corpodetexto"/>
        <w:spacing w:before="3"/>
        <w:ind w:left="0"/>
        <w:rPr>
          <w:sz w:val="36"/>
        </w:rPr>
      </w:pPr>
    </w:p>
    <w:p w:rsidR="000C1331" w:rsidRDefault="00D83680">
      <w:pPr>
        <w:pStyle w:val="Heading1"/>
        <w:numPr>
          <w:ilvl w:val="0"/>
          <w:numId w:val="1"/>
        </w:numPr>
        <w:tabs>
          <w:tab w:val="left" w:pos="426"/>
        </w:tabs>
        <w:spacing w:before="1"/>
        <w:ind w:hanging="283"/>
      </w:pPr>
      <w:r>
        <w:t>DO PRINCÍPIO DA RESERVA DO</w:t>
      </w:r>
      <w:r>
        <w:rPr>
          <w:spacing w:val="-1"/>
        </w:rPr>
        <w:t xml:space="preserve"> </w:t>
      </w:r>
      <w:r>
        <w:t>POSSÍVEL</w:t>
      </w:r>
    </w:p>
    <w:p w:rsidR="000C1331" w:rsidRDefault="000C1331">
      <w:pPr>
        <w:pStyle w:val="Corpodetexto"/>
        <w:spacing w:before="8"/>
        <w:ind w:left="0"/>
        <w:rPr>
          <w:b/>
          <w:sz w:val="26"/>
        </w:rPr>
      </w:pPr>
    </w:p>
    <w:p w:rsidR="000C1331" w:rsidRDefault="00D83680" w:rsidP="009E2A01">
      <w:pPr>
        <w:pStyle w:val="Corpodetexto"/>
        <w:spacing w:line="360" w:lineRule="auto"/>
        <w:ind w:right="234" w:firstLine="851"/>
        <w:jc w:val="both"/>
      </w:pPr>
      <w:r>
        <w:t xml:space="preserve">A construção teórica do princípio da reserva do possível surge na Alemanha na década de 1960, no julgamento realizado pelo Tribunal Constitucional Federal Alemão no conhecido caso </w:t>
      </w:r>
      <w:proofErr w:type="spellStart"/>
      <w:r>
        <w:rPr>
          <w:i/>
        </w:rPr>
        <w:t>numerus</w:t>
      </w:r>
      <w:proofErr w:type="spellEnd"/>
      <w:r>
        <w:rPr>
          <w:i/>
        </w:rPr>
        <w:t xml:space="preserve"> </w:t>
      </w:r>
      <w:proofErr w:type="spellStart"/>
      <w:r>
        <w:rPr>
          <w:i/>
        </w:rPr>
        <w:t>clausus</w:t>
      </w:r>
      <w:proofErr w:type="spellEnd"/>
      <w:r>
        <w:rPr>
          <w:i/>
        </w:rPr>
        <w:t xml:space="preserve"> </w:t>
      </w:r>
      <w:r>
        <w:t>(</w:t>
      </w:r>
      <w:proofErr w:type="spellStart"/>
      <w:proofErr w:type="gramStart"/>
      <w:r>
        <w:t>BverfGE</w:t>
      </w:r>
      <w:proofErr w:type="spellEnd"/>
      <w:proofErr w:type="gramEnd"/>
      <w:r>
        <w:t xml:space="preserve"> n.º 33, S. 333), com a </w:t>
      </w:r>
      <w:r w:rsidR="009E2A01">
        <w:t>idéia</w:t>
      </w:r>
      <w:r>
        <w:t xml:space="preserve"> de que as</w:t>
      </w:r>
      <w:r w:rsidR="009E2A01">
        <w:t xml:space="preserve"> </w:t>
      </w:r>
      <w:r>
        <w:t>prestações</w:t>
      </w:r>
      <w:r>
        <w:tab/>
        <w:t>materiais</w:t>
      </w:r>
      <w:r>
        <w:tab/>
        <w:t>dos</w:t>
      </w:r>
      <w:r>
        <w:tab/>
        <w:t>direitos</w:t>
      </w:r>
      <w:r>
        <w:tab/>
        <w:t>fundamentais</w:t>
      </w:r>
      <w:r>
        <w:tab/>
        <w:t>sociais</w:t>
      </w:r>
      <w:r>
        <w:tab/>
        <w:t>estaria</w:t>
      </w:r>
      <w:r>
        <w:tab/>
        <w:t>condicionado</w:t>
      </w:r>
      <w:r>
        <w:tab/>
        <w:t xml:space="preserve">a </w:t>
      </w:r>
      <w:r>
        <w:t>d</w:t>
      </w:r>
      <w:r>
        <w:t>isponibilidade real de recursos financeiros por parte do</w:t>
      </w:r>
      <w:r>
        <w:rPr>
          <w:spacing w:val="-3"/>
        </w:rPr>
        <w:t xml:space="preserve"> </w:t>
      </w:r>
      <w:r>
        <w:t>Estado.</w:t>
      </w:r>
    </w:p>
    <w:p w:rsidR="000C1331" w:rsidRDefault="00D83680">
      <w:pPr>
        <w:pStyle w:val="Corpodetexto"/>
        <w:spacing w:line="360" w:lineRule="auto"/>
        <w:ind w:right="235" w:firstLine="851"/>
        <w:jc w:val="both"/>
      </w:pPr>
      <w:r>
        <w:t>O referido caso teve origem devido a uma política de governo na limitação no número de vagas no ensino superior Leivas (2010), afirma que:</w:t>
      </w:r>
    </w:p>
    <w:p w:rsidR="000C1331" w:rsidRDefault="000C1331">
      <w:pPr>
        <w:pStyle w:val="Corpodetexto"/>
        <w:spacing w:before="9"/>
        <w:ind w:left="0"/>
        <w:rPr>
          <w:sz w:val="35"/>
        </w:rPr>
      </w:pPr>
    </w:p>
    <w:p w:rsidR="000C1331" w:rsidRDefault="00D83680">
      <w:pPr>
        <w:ind w:left="2410" w:right="233"/>
        <w:jc w:val="both"/>
        <w:rPr>
          <w:sz w:val="20"/>
        </w:rPr>
      </w:pPr>
      <w:proofErr w:type="spellStart"/>
      <w:r>
        <w:rPr>
          <w:i/>
          <w:sz w:val="20"/>
        </w:rPr>
        <w:t>Numerus</w:t>
      </w:r>
      <w:proofErr w:type="spellEnd"/>
      <w:r>
        <w:rPr>
          <w:i/>
          <w:sz w:val="20"/>
        </w:rPr>
        <w:t xml:space="preserve"> </w:t>
      </w:r>
      <w:proofErr w:type="spellStart"/>
      <w:r>
        <w:rPr>
          <w:i/>
          <w:sz w:val="20"/>
        </w:rPr>
        <w:t>clausus</w:t>
      </w:r>
      <w:proofErr w:type="spellEnd"/>
      <w:r>
        <w:rPr>
          <w:i/>
          <w:sz w:val="20"/>
        </w:rPr>
        <w:t xml:space="preserve"> </w:t>
      </w:r>
      <w:r>
        <w:rPr>
          <w:sz w:val="20"/>
        </w:rPr>
        <w:t>é a denominação de uma política adotada pela Alemanha, em 1960, para limitar numericamente os ingres</w:t>
      </w:r>
      <w:r>
        <w:rPr>
          <w:sz w:val="20"/>
        </w:rPr>
        <w:t xml:space="preserve">sos de estudantes em determinados cursos universitários face à grande quantidade de interessados em áreas como o </w:t>
      </w:r>
      <w:r>
        <w:rPr>
          <w:sz w:val="20"/>
        </w:rPr>
        <w:lastRenderedPageBreak/>
        <w:t xml:space="preserve">direito, medicina, farmácia e outras. Estudantes que não lograram ser admitidos nas escolas de medicina das Universidades de Hamburgo e </w:t>
      </w:r>
      <w:proofErr w:type="gramStart"/>
      <w:r>
        <w:rPr>
          <w:sz w:val="20"/>
        </w:rPr>
        <w:t>Munique</w:t>
      </w:r>
      <w:r>
        <w:rPr>
          <w:sz w:val="20"/>
        </w:rPr>
        <w:t xml:space="preserve"> contestaram</w:t>
      </w:r>
      <w:proofErr w:type="gramEnd"/>
      <w:r>
        <w:rPr>
          <w:sz w:val="20"/>
        </w:rPr>
        <w:t xml:space="preserve"> a limitação com base no art.12 da Lei Fundamental, que prevê o direito de todo alemão à livre escolha de sua profissão, seu posto de trabalho e seu centro de formação.</w:t>
      </w:r>
    </w:p>
    <w:p w:rsidR="000C1331" w:rsidRDefault="00D83680">
      <w:pPr>
        <w:spacing w:before="2"/>
        <w:ind w:left="2410" w:right="234"/>
        <w:jc w:val="both"/>
        <w:rPr>
          <w:sz w:val="20"/>
        </w:rPr>
      </w:pPr>
      <w:r>
        <w:rPr>
          <w:sz w:val="20"/>
        </w:rPr>
        <w:t>Nessa decisão, o Tribunal Constitucional Federal distingue entre dois direi</w:t>
      </w:r>
      <w:r>
        <w:rPr>
          <w:sz w:val="20"/>
        </w:rPr>
        <w:t>tos: um a ‘participar’ nas instituições educativas existentes e um direito à criação de novas vagas (LEIVAS, 2010, p.</w:t>
      </w:r>
      <w:r>
        <w:rPr>
          <w:spacing w:val="-2"/>
          <w:sz w:val="20"/>
        </w:rPr>
        <w:t xml:space="preserve"> </w:t>
      </w:r>
      <w:r>
        <w:rPr>
          <w:sz w:val="20"/>
        </w:rPr>
        <w:t>287).</w:t>
      </w:r>
    </w:p>
    <w:p w:rsidR="000C1331" w:rsidRDefault="000C1331">
      <w:pPr>
        <w:pStyle w:val="Corpodetexto"/>
        <w:ind w:left="0"/>
        <w:rPr>
          <w:sz w:val="22"/>
        </w:rPr>
      </w:pPr>
    </w:p>
    <w:p w:rsidR="000C1331" w:rsidRDefault="00D83680">
      <w:pPr>
        <w:pStyle w:val="Corpodetexto"/>
        <w:spacing w:before="162" w:line="360" w:lineRule="auto"/>
        <w:ind w:right="236" w:firstLine="851"/>
        <w:jc w:val="both"/>
      </w:pPr>
      <w:r>
        <w:t xml:space="preserve">Segundo Figueiredo e </w:t>
      </w:r>
      <w:proofErr w:type="spellStart"/>
      <w:r>
        <w:t>Sarlet</w:t>
      </w:r>
      <w:proofErr w:type="spellEnd"/>
      <w:r>
        <w:t xml:space="preserve"> (2007), “firmou-se o entendimento no sentido de que a prestação reclamada deve corresponder aquilo que </w:t>
      </w:r>
      <w:r>
        <w:t>o individuo pode razoavelmente exigir da sociedade”.</w:t>
      </w:r>
    </w:p>
    <w:p w:rsidR="000C1331" w:rsidRDefault="00D83680">
      <w:pPr>
        <w:pStyle w:val="Corpodetexto"/>
        <w:spacing w:line="360" w:lineRule="auto"/>
        <w:ind w:right="231" w:firstLine="851"/>
        <w:jc w:val="both"/>
      </w:pPr>
      <w:r>
        <w:t>Assim, pode-se sustentar que caberia ao Estado a prestação material de direitos sociais apenas daquilo que estaria previsto em seu plano orçamentário, não sendo razoável que o cidadão exija mais do que a</w:t>
      </w:r>
      <w:r>
        <w:t xml:space="preserve">quilo que ele poderia </w:t>
      </w:r>
      <w:proofErr w:type="gramStart"/>
      <w:r>
        <w:t>prestar,</w:t>
      </w:r>
      <w:proofErr w:type="gramEnd"/>
      <w:r>
        <w:t xml:space="preserve"> Figueiredo e </w:t>
      </w:r>
      <w:proofErr w:type="spellStart"/>
      <w:r>
        <w:t>Sarlet</w:t>
      </w:r>
      <w:proofErr w:type="spellEnd"/>
      <w:r>
        <w:t xml:space="preserve"> (2007) expõe que:</w:t>
      </w:r>
    </w:p>
    <w:p w:rsidR="000C1331" w:rsidRDefault="000C1331">
      <w:pPr>
        <w:pStyle w:val="Corpodetexto"/>
        <w:spacing w:before="11"/>
        <w:ind w:left="0"/>
        <w:rPr>
          <w:sz w:val="35"/>
        </w:rPr>
      </w:pPr>
    </w:p>
    <w:p w:rsidR="000C1331" w:rsidRDefault="00D83680">
      <w:pPr>
        <w:ind w:left="2410" w:right="236"/>
        <w:jc w:val="both"/>
        <w:rPr>
          <w:sz w:val="20"/>
        </w:rPr>
      </w:pPr>
      <w:r>
        <w:rPr>
          <w:sz w:val="20"/>
        </w:rPr>
        <w:t>[...] a designada reserva do possível apresenta pelo menos uma dimensão tríplice, que abrange a) a efetiva disponibilidade fática de recursos para a efetivação dos direitos fundamentais; b) a disponibilidade jurídica dos recursos matérias e humanos, que gu</w:t>
      </w:r>
      <w:r>
        <w:rPr>
          <w:sz w:val="20"/>
        </w:rPr>
        <w:t>arda íntima conexão com a distribuição das receitas e competências tributárias, orçamentárias, legislativas e administrativas, entre outras e c) já na perspectiva (também) do eventual titular de um direito a prestações sociais, a reserva do possível envolv</w:t>
      </w:r>
      <w:r>
        <w:rPr>
          <w:sz w:val="20"/>
        </w:rPr>
        <w:t>e o problema da proporcionalidade na prestação, em especial no tocante à sua exigibilidade e, nesta quadra, também da sua razoabilidade (FIGUEIREDO E SARLET, 2007, p. 189).</w:t>
      </w:r>
    </w:p>
    <w:p w:rsidR="000C1331" w:rsidRDefault="000C1331">
      <w:pPr>
        <w:pStyle w:val="Corpodetexto"/>
        <w:ind w:left="0"/>
        <w:rPr>
          <w:sz w:val="22"/>
        </w:rPr>
      </w:pPr>
    </w:p>
    <w:p w:rsidR="000C1331" w:rsidRDefault="00D83680" w:rsidP="009E2A01">
      <w:pPr>
        <w:pStyle w:val="Corpodetexto"/>
        <w:spacing w:before="161" w:line="360" w:lineRule="auto"/>
        <w:ind w:right="234" w:firstLine="851"/>
        <w:jc w:val="both"/>
      </w:pPr>
      <w:r>
        <w:t>A partir do exposto, entende-se que o princípio da reserva do possível nasce no âm</w:t>
      </w:r>
      <w:r>
        <w:t>bito jurídico com a finalidade de impor limites jurídicos e fáticos nas exigências dos cidadãos à prestação de determinados serviços sociais pelo Estado.</w:t>
      </w:r>
    </w:p>
    <w:p w:rsidR="000C1331" w:rsidRDefault="00D83680" w:rsidP="009E2A01">
      <w:pPr>
        <w:pStyle w:val="Corpodetexto"/>
        <w:spacing w:before="1" w:line="360" w:lineRule="auto"/>
        <w:ind w:right="235" w:firstLine="851"/>
        <w:jc w:val="both"/>
      </w:pPr>
      <w:r>
        <w:t>O primeiro refere-se à possibilidade jurídica de alocação dos recursos para custear prestações diversa</w:t>
      </w:r>
      <w:r>
        <w:t>s daquela na qual a verba fora destinada, já o limite fático, demonstra que</w:t>
      </w:r>
      <w:r>
        <w:rPr>
          <w:spacing w:val="26"/>
        </w:rPr>
        <w:t xml:space="preserve"> </w:t>
      </w:r>
      <w:r>
        <w:t>tais</w:t>
      </w:r>
      <w:r>
        <w:rPr>
          <w:spacing w:val="28"/>
        </w:rPr>
        <w:t xml:space="preserve"> </w:t>
      </w:r>
      <w:r>
        <w:t>direitos</w:t>
      </w:r>
      <w:r>
        <w:rPr>
          <w:spacing w:val="27"/>
        </w:rPr>
        <w:t xml:space="preserve"> </w:t>
      </w:r>
      <w:r>
        <w:t>de</w:t>
      </w:r>
      <w:r>
        <w:rPr>
          <w:spacing w:val="29"/>
        </w:rPr>
        <w:t xml:space="preserve"> </w:t>
      </w:r>
      <w:r>
        <w:t>prestações</w:t>
      </w:r>
      <w:r>
        <w:rPr>
          <w:spacing w:val="29"/>
        </w:rPr>
        <w:t xml:space="preserve"> </w:t>
      </w:r>
      <w:r>
        <w:t>positivas</w:t>
      </w:r>
      <w:r>
        <w:rPr>
          <w:spacing w:val="28"/>
        </w:rPr>
        <w:t xml:space="preserve"> </w:t>
      </w:r>
      <w:r>
        <w:t>dependem</w:t>
      </w:r>
      <w:r>
        <w:rPr>
          <w:spacing w:val="28"/>
        </w:rPr>
        <w:t xml:space="preserve"> </w:t>
      </w:r>
      <w:r>
        <w:t>de</w:t>
      </w:r>
      <w:r>
        <w:rPr>
          <w:spacing w:val="27"/>
        </w:rPr>
        <w:t xml:space="preserve"> </w:t>
      </w:r>
      <w:proofErr w:type="gramStart"/>
      <w:r>
        <w:t>vultuosos</w:t>
      </w:r>
      <w:proofErr w:type="gramEnd"/>
      <w:r>
        <w:rPr>
          <w:spacing w:val="28"/>
        </w:rPr>
        <w:t xml:space="preserve"> </w:t>
      </w:r>
      <w:r>
        <w:t>recursos</w:t>
      </w:r>
      <w:r>
        <w:rPr>
          <w:spacing w:val="31"/>
        </w:rPr>
        <w:t xml:space="preserve"> </w:t>
      </w:r>
      <w:r>
        <w:t>financeiros</w:t>
      </w:r>
      <w:r>
        <w:rPr>
          <w:spacing w:val="27"/>
        </w:rPr>
        <w:t xml:space="preserve"> </w:t>
      </w:r>
      <w:r>
        <w:t>por</w:t>
      </w:r>
    </w:p>
    <w:p w:rsidR="000C1331" w:rsidRDefault="00D83680" w:rsidP="009E2A01">
      <w:pPr>
        <w:pStyle w:val="Corpodetexto"/>
        <w:spacing w:before="98" w:line="360" w:lineRule="auto"/>
        <w:ind w:right="235"/>
        <w:jc w:val="both"/>
      </w:pPr>
      <w:proofErr w:type="gramStart"/>
      <w:r>
        <w:t>parte</w:t>
      </w:r>
      <w:proofErr w:type="gramEnd"/>
      <w:r>
        <w:t xml:space="preserve"> do Estado para sua implementação, e que nem sempre o Estado dispõe de tanto</w:t>
      </w:r>
      <w:r>
        <w:t>s recursos necessários para realizar todas as exigências de seus cidadãos.</w:t>
      </w:r>
    </w:p>
    <w:p w:rsidR="000C1331" w:rsidRDefault="00D83680" w:rsidP="009E2A01">
      <w:pPr>
        <w:pStyle w:val="Corpodetexto"/>
        <w:spacing w:line="360" w:lineRule="auto"/>
        <w:ind w:right="233" w:firstLine="851"/>
        <w:jc w:val="both"/>
      </w:pPr>
      <w:r>
        <w:t>Todavia, nem sempre poderá o Estado lançar mão do argumento da reserva do possível para justificar sua omissão na prestação dos direitos fundamentais sociais, haja vista que, determ</w:t>
      </w:r>
      <w:r>
        <w:t xml:space="preserve">inados direitos sociais que compõe o princípio do mínimo existencial e por </w:t>
      </w:r>
      <w:proofErr w:type="spellStart"/>
      <w:r>
        <w:t>consequência</w:t>
      </w:r>
      <w:proofErr w:type="spellEnd"/>
      <w:r>
        <w:t xml:space="preserve"> constitui o núcleo básico do princípio da dignidade da pessoa humana, não admitem a justificativa por parte do Estado de escassez de recursos financeiros para sua não p</w:t>
      </w:r>
      <w:r>
        <w:t>restação. Nesse sentido, Gustavo Amaral (2013) entende que “quanto mais essencial for à prestação, mais excepcional deverá ser a razão para que ela não</w:t>
      </w:r>
      <w:r>
        <w:rPr>
          <w:spacing w:val="25"/>
        </w:rPr>
        <w:t xml:space="preserve"> </w:t>
      </w:r>
      <w:r>
        <w:t>seja atendida”.</w:t>
      </w:r>
    </w:p>
    <w:p w:rsidR="000C1331" w:rsidRDefault="00D83680">
      <w:pPr>
        <w:pStyle w:val="Corpodetexto"/>
        <w:spacing w:before="1"/>
        <w:ind w:left="994"/>
      </w:pPr>
      <w:r>
        <w:lastRenderedPageBreak/>
        <w:t xml:space="preserve">Destarte, </w:t>
      </w:r>
      <w:proofErr w:type="spellStart"/>
      <w:r>
        <w:t>Kazuo</w:t>
      </w:r>
      <w:proofErr w:type="spellEnd"/>
      <w:r>
        <w:t xml:space="preserve"> Watanabe (2013) afirma que:</w:t>
      </w:r>
    </w:p>
    <w:p w:rsidR="000C1331" w:rsidRDefault="000C1331">
      <w:pPr>
        <w:pStyle w:val="Corpodetexto"/>
        <w:ind w:left="0"/>
        <w:rPr>
          <w:sz w:val="26"/>
        </w:rPr>
      </w:pPr>
    </w:p>
    <w:p w:rsidR="000C1331" w:rsidRDefault="000C1331">
      <w:pPr>
        <w:pStyle w:val="Corpodetexto"/>
        <w:spacing w:before="10"/>
        <w:ind w:left="0"/>
        <w:rPr>
          <w:sz w:val="21"/>
        </w:rPr>
      </w:pPr>
    </w:p>
    <w:p w:rsidR="000C1331" w:rsidRDefault="00D83680">
      <w:pPr>
        <w:ind w:left="2410" w:right="235"/>
        <w:jc w:val="both"/>
        <w:rPr>
          <w:sz w:val="20"/>
        </w:rPr>
      </w:pPr>
      <w:proofErr w:type="gramStart"/>
      <w:r>
        <w:rPr>
          <w:sz w:val="20"/>
        </w:rPr>
        <w:t>Nosso entendimento, em relação aos direito</w:t>
      </w:r>
      <w:r>
        <w:rPr>
          <w:sz w:val="20"/>
        </w:rPr>
        <w:t>s fundamentais sociais que estejam referido ao núcleo duro do princípio da dignidade humana e por isso integram</w:t>
      </w:r>
      <w:proofErr w:type="gramEnd"/>
      <w:r>
        <w:rPr>
          <w:sz w:val="20"/>
        </w:rPr>
        <w:t xml:space="preserve"> o conceito de “mínimo existencial”, é </w:t>
      </w:r>
      <w:proofErr w:type="spellStart"/>
      <w:r>
        <w:rPr>
          <w:sz w:val="20"/>
        </w:rPr>
        <w:t>inoponível</w:t>
      </w:r>
      <w:proofErr w:type="spellEnd"/>
      <w:r>
        <w:rPr>
          <w:sz w:val="20"/>
        </w:rPr>
        <w:t xml:space="preserve"> a cláusula da “reserva do possível”. Somente em relação aos direitos fundamentais imediatamente</w:t>
      </w:r>
      <w:r>
        <w:rPr>
          <w:sz w:val="20"/>
        </w:rPr>
        <w:t xml:space="preserve"> ajuizáveis, que são os previstos em normas constitucionais de “densidade suficiente”, poderá ser contraposta, mediante fundada alegação e demonstração cabal, a cláusula da “reserva do possível” (WATANABE, 2013, p. 223, grifos originais).</w:t>
      </w:r>
    </w:p>
    <w:p w:rsidR="000C1331" w:rsidRDefault="000C1331">
      <w:pPr>
        <w:pStyle w:val="Corpodetexto"/>
        <w:ind w:left="0"/>
        <w:rPr>
          <w:sz w:val="22"/>
        </w:rPr>
      </w:pPr>
    </w:p>
    <w:p w:rsidR="000C1331" w:rsidRDefault="00D83680" w:rsidP="009E2A01">
      <w:pPr>
        <w:pStyle w:val="Corpodetexto"/>
        <w:spacing w:before="162" w:line="360" w:lineRule="auto"/>
        <w:ind w:right="233" w:firstLine="851"/>
        <w:jc w:val="both"/>
      </w:pPr>
      <w:r>
        <w:t>Conquanto, pode-se dizer que o princípio da reserva do possível também visa garantir na medida do possível o mínimo existencial de todos os direitos fundamentais de cunho social, cabendo ao administrador público o dever de maximizar os recursos e distribuí</w:t>
      </w:r>
      <w:r>
        <w:t>-los de forma equitativa de maneira a abarcar a prestação do maior número de políticas públicas.</w:t>
      </w:r>
    </w:p>
    <w:p w:rsidR="000C1331" w:rsidRDefault="00D83680" w:rsidP="009E2A01">
      <w:pPr>
        <w:pStyle w:val="Corpodetexto"/>
        <w:spacing w:line="360" w:lineRule="auto"/>
        <w:ind w:right="233" w:firstLine="851"/>
        <w:jc w:val="both"/>
      </w:pPr>
      <w:r>
        <w:t xml:space="preserve">Em outras palavras, a reserva do possível garante que o administrador público distribua de forma discricionária os recursos financeiros não vinculados de modo </w:t>
      </w:r>
      <w:r>
        <w:t>a atender o maior numero de direitos fundamentais sociais mínimos para uma existência digna.</w:t>
      </w:r>
    </w:p>
    <w:p w:rsidR="000C1331" w:rsidRDefault="00D83680" w:rsidP="009E2A01">
      <w:pPr>
        <w:pStyle w:val="Corpodetexto"/>
        <w:spacing w:before="1" w:line="360" w:lineRule="auto"/>
        <w:ind w:right="232" w:firstLine="851"/>
        <w:jc w:val="both"/>
      </w:pPr>
      <w:r>
        <w:t xml:space="preserve">No Brasil, </w:t>
      </w:r>
      <w:proofErr w:type="gramStart"/>
      <w:r>
        <w:t>a grande maioria dos direitos fundamentais sociais que compõe o mínimo existencial estão</w:t>
      </w:r>
      <w:proofErr w:type="gramEnd"/>
      <w:r>
        <w:t xml:space="preserve"> previstos no art. 6° da CRFB/1988, que conforme explicitado aci</w:t>
      </w:r>
      <w:r>
        <w:t>ma, é imponível o princípio da reserva do possível.</w:t>
      </w:r>
    </w:p>
    <w:p w:rsidR="000C1331" w:rsidRDefault="00D83680" w:rsidP="009E2A01">
      <w:pPr>
        <w:pStyle w:val="Corpodetexto"/>
        <w:spacing w:line="360" w:lineRule="auto"/>
        <w:ind w:right="232" w:firstLine="851"/>
        <w:jc w:val="both"/>
      </w:pPr>
      <w:r>
        <w:t>Desta forma, destacamos dentre esses direitos fundamentais sociais a saúde que devido ao grau de sua essencialidade, também possui previsão no art.196º da CRFB/1988, que assim dispõe:</w:t>
      </w:r>
    </w:p>
    <w:p w:rsidR="000C1331" w:rsidRDefault="00D83680">
      <w:pPr>
        <w:spacing w:before="97"/>
        <w:ind w:left="2410" w:right="236"/>
        <w:jc w:val="both"/>
        <w:rPr>
          <w:sz w:val="20"/>
        </w:rPr>
      </w:pPr>
      <w:r>
        <w:rPr>
          <w:sz w:val="20"/>
        </w:rPr>
        <w:t>Art. 1</w:t>
      </w:r>
      <w:r>
        <w:rPr>
          <w:sz w:val="20"/>
        </w:rPr>
        <w:t>96. A saúde é direito de todos e dever do Estado, garantido mediante políticas sociais e econômicas que visem à redução do risco de doença e de outros agravos e ao acesso universal e igualitário às ações e serviços para sua promoção, proteção e recuperação</w:t>
      </w:r>
      <w:r>
        <w:rPr>
          <w:sz w:val="20"/>
        </w:rPr>
        <w:t xml:space="preserve"> (BRASIL. Constituição,</w:t>
      </w:r>
      <w:r>
        <w:rPr>
          <w:spacing w:val="-3"/>
          <w:sz w:val="20"/>
        </w:rPr>
        <w:t xml:space="preserve"> </w:t>
      </w:r>
      <w:r>
        <w:rPr>
          <w:sz w:val="20"/>
        </w:rPr>
        <w:t>1988).</w:t>
      </w:r>
    </w:p>
    <w:p w:rsidR="000C1331" w:rsidRDefault="000C1331">
      <w:pPr>
        <w:pStyle w:val="Corpodetexto"/>
        <w:ind w:left="0"/>
        <w:rPr>
          <w:sz w:val="22"/>
        </w:rPr>
      </w:pPr>
    </w:p>
    <w:p w:rsidR="000C1331" w:rsidRDefault="00D83680">
      <w:pPr>
        <w:pStyle w:val="Corpodetexto"/>
        <w:spacing w:before="162" w:line="360" w:lineRule="auto"/>
        <w:ind w:right="231" w:firstLine="851"/>
        <w:jc w:val="both"/>
      </w:pPr>
      <w:r>
        <w:t xml:space="preserve">Logo, a proteção ao direito à saúde é um dos pilares fundamentais do princípio da dignidade da pessoa humana, cabendo ao Estado o dever de promover políticas públicas visando à proteção e a redução dos riscos a esse direito </w:t>
      </w:r>
      <w:r>
        <w:t>fundamental.</w:t>
      </w:r>
    </w:p>
    <w:p w:rsidR="000C1331" w:rsidRDefault="00D83680">
      <w:pPr>
        <w:pStyle w:val="Corpodetexto"/>
        <w:spacing w:line="360" w:lineRule="auto"/>
        <w:ind w:right="233" w:firstLine="851"/>
        <w:jc w:val="both"/>
      </w:pPr>
      <w:r>
        <w:t xml:space="preserve">No entanto, a saúde é </w:t>
      </w:r>
      <w:proofErr w:type="spellStart"/>
      <w:r>
        <w:t>frequentemente</w:t>
      </w:r>
      <w:proofErr w:type="spellEnd"/>
      <w:r>
        <w:t xml:space="preserve"> afetada pela poluição atmosférica, já que a degradação da qualidade do ar é um dos fatores responsável pelo agravamento de doenças respiratórias, tema debatido no tópico seguinte.</w:t>
      </w:r>
    </w:p>
    <w:p w:rsidR="009E2A01" w:rsidRDefault="009E2A01">
      <w:pPr>
        <w:pStyle w:val="Corpodetexto"/>
        <w:spacing w:line="360" w:lineRule="auto"/>
        <w:ind w:right="233" w:firstLine="851"/>
        <w:jc w:val="both"/>
      </w:pPr>
    </w:p>
    <w:p w:rsidR="000C1331" w:rsidRDefault="00D83680">
      <w:pPr>
        <w:pStyle w:val="Heading1"/>
        <w:numPr>
          <w:ilvl w:val="0"/>
          <w:numId w:val="1"/>
        </w:numPr>
        <w:tabs>
          <w:tab w:val="left" w:pos="426"/>
        </w:tabs>
        <w:spacing w:before="1"/>
        <w:ind w:hanging="283"/>
      </w:pPr>
      <w:r>
        <w:t>MÍNIMO EXISTENCIAL, RESERVA DO POSSÍVEL E QUALIDADE DO</w:t>
      </w:r>
      <w:r>
        <w:rPr>
          <w:spacing w:val="-5"/>
        </w:rPr>
        <w:t xml:space="preserve"> </w:t>
      </w:r>
      <w:r>
        <w:t>AR</w:t>
      </w:r>
    </w:p>
    <w:p w:rsidR="000C1331" w:rsidRDefault="000C1331">
      <w:pPr>
        <w:pStyle w:val="Corpodetexto"/>
        <w:spacing w:before="5"/>
        <w:ind w:left="0"/>
        <w:rPr>
          <w:b/>
          <w:sz w:val="26"/>
        </w:rPr>
      </w:pPr>
    </w:p>
    <w:p w:rsidR="000C1331" w:rsidRDefault="00D83680">
      <w:pPr>
        <w:pStyle w:val="Corpodetexto"/>
        <w:spacing w:before="1" w:line="360" w:lineRule="auto"/>
        <w:ind w:right="233" w:firstLine="851"/>
        <w:jc w:val="both"/>
      </w:pPr>
      <w:r>
        <w:t>A degradação da qualidade do ar representa um importante fator de ameaça à saúde humana, principalmente nos grandes centros urbanos motivados pelo o aumento e a rotatividade de veículos automotores</w:t>
      </w:r>
      <w:r>
        <w:t xml:space="preserve">, pelas queimadas, pelos processos industriais e pela </w:t>
      </w:r>
      <w:r>
        <w:lastRenderedPageBreak/>
        <w:t>geração de energia.</w:t>
      </w:r>
    </w:p>
    <w:p w:rsidR="000C1331" w:rsidRDefault="00D83680">
      <w:pPr>
        <w:pStyle w:val="Corpodetexto"/>
        <w:spacing w:line="360" w:lineRule="auto"/>
        <w:ind w:right="232" w:firstLine="851"/>
        <w:jc w:val="both"/>
      </w:pPr>
      <w:r>
        <w:t>Desta forma, dentre as atividades humanas, essas são as maiores causas de emissão de gases e partículas poluentes na atmosfera nociva a saúde</w:t>
      </w:r>
      <w:r>
        <w:rPr>
          <w:spacing w:val="-6"/>
        </w:rPr>
        <w:t xml:space="preserve"> </w:t>
      </w:r>
      <w:r>
        <w:t>humana.</w:t>
      </w:r>
    </w:p>
    <w:p w:rsidR="000C1331" w:rsidRDefault="00D83680">
      <w:pPr>
        <w:pStyle w:val="Corpodetexto"/>
        <w:spacing w:line="360" w:lineRule="auto"/>
        <w:ind w:right="231" w:firstLine="851"/>
        <w:jc w:val="both"/>
      </w:pPr>
      <w:r>
        <w:t>Entretanto, os efeitos da má qua</w:t>
      </w:r>
      <w:r>
        <w:t xml:space="preserve">lidade do ar, não são tão perceptíveis se comparados a outros tipos de degradação </w:t>
      </w:r>
      <w:proofErr w:type="gramStart"/>
      <w:r>
        <w:t>ambiental também nocivas</w:t>
      </w:r>
      <w:proofErr w:type="gramEnd"/>
      <w:r>
        <w:t xml:space="preserve"> à saúde humana mais fáceis de serem identificadas.</w:t>
      </w:r>
    </w:p>
    <w:p w:rsidR="000C1331" w:rsidRDefault="00D83680" w:rsidP="009E2A01">
      <w:pPr>
        <w:pStyle w:val="Corpodetexto"/>
        <w:spacing w:before="2" w:line="360" w:lineRule="auto"/>
        <w:ind w:right="236" w:firstLine="851"/>
        <w:jc w:val="both"/>
      </w:pPr>
      <w:r>
        <w:t xml:space="preserve">Estudos epidemiológicos e pesquisas realizadas acerca da exposição da população a má qualidade do </w:t>
      </w:r>
      <w:r>
        <w:t>ar tem demonstrado o desencadeamento de graves doenças crônicas como asma, bronquite, enfisema pulmonar, câncer de pulmão dentre outras doenças cardiovasculares, que por sua vez, ocasionam grandes gastos aos cofres públicos em decorrência do aumento do núm</w:t>
      </w:r>
      <w:r>
        <w:t>ero de atendimento e internações hospitalares. Um estudo realizado pelo Laboratório de Poluição Atmosférica Experimental da Universidade de São Paulo-USP, intitulado Poluição custa US$ 1 bilhão por ano para o Brasil, identificou que:</w:t>
      </w:r>
    </w:p>
    <w:p w:rsidR="000C1331" w:rsidRDefault="00D83680" w:rsidP="009E2A01">
      <w:pPr>
        <w:pStyle w:val="Corpodetexto"/>
        <w:spacing w:line="360" w:lineRule="auto"/>
        <w:ind w:right="237" w:firstLine="851"/>
        <w:jc w:val="both"/>
      </w:pPr>
      <w:r>
        <w:t>A má qualidade do ar c</w:t>
      </w:r>
      <w:r>
        <w:t>usta pelo menos US$ 1 bilhão para o tesouro brasileiro a cada ano, principalmente devido às mortes e ao tratamento de doenças que estão diretamente ou indiretamente associados à poluição. O ranking dos gastos das regiões</w:t>
      </w:r>
    </w:p>
    <w:p w:rsidR="000C1331" w:rsidRDefault="00D83680" w:rsidP="009E2A01">
      <w:pPr>
        <w:pStyle w:val="Corpodetexto"/>
        <w:spacing w:before="98" w:line="360" w:lineRule="auto"/>
        <w:ind w:right="240"/>
        <w:jc w:val="both"/>
      </w:pPr>
      <w:proofErr w:type="gramStart"/>
      <w:r>
        <w:t>metropolitanas</w:t>
      </w:r>
      <w:proofErr w:type="gramEnd"/>
      <w:r>
        <w:t xml:space="preserve"> brasil</w:t>
      </w:r>
      <w:r>
        <w:t xml:space="preserve">eiras com a qualidade do ar relacionada com problemas de saúde é liderado por São Paulo (US$ 300 milhões), seguido pelo Rio de Janeiro (US$ 250 milhões), Porto Alegre (US$ 180 milhões), Belo Horizonte (US$ 150 milhões), Curitiba (US$ 140 milhões) e Recife </w:t>
      </w:r>
      <w:r>
        <w:t>(US$ 10 milhões) (DOMINGUES, et al. 2013, p.</w:t>
      </w:r>
      <w:r>
        <w:rPr>
          <w:spacing w:val="-7"/>
        </w:rPr>
        <w:t xml:space="preserve"> </w:t>
      </w:r>
      <w:r>
        <w:t>128).</w:t>
      </w:r>
    </w:p>
    <w:p w:rsidR="000C1331" w:rsidRDefault="00D83680" w:rsidP="009E2A01">
      <w:pPr>
        <w:pStyle w:val="Corpodetexto"/>
        <w:spacing w:line="360" w:lineRule="auto"/>
        <w:ind w:right="232" w:firstLine="851"/>
        <w:jc w:val="both"/>
      </w:pPr>
      <w:r>
        <w:t>Já ciente dos danos causados a saúde humana pela má qualidade do ar, o Conselho Nacional do Meio Ambiente (CONAMA), criou em 1989, o Programa Nacional de Controle de Qualidade do Ar (PRONAR), por meio da r</w:t>
      </w:r>
      <w:r>
        <w:t>esolução CONAMA 005, de 15 de junho de 1989, definindo em seu art. 1°, um dos instrumentos básicos da gestão ambiental para proteção da saúde, do bem estar da população e a melhoria da qualidade de vida com o objetivo de permitir o desenvolvimento econômic</w:t>
      </w:r>
      <w:r>
        <w:t>o e social do país de forma ambientalmente sustentável, fixando limites para os níveis de emissão de gases poluentes, com vistas a preservar a qualidade do ar em áreas consideradas não degradadas e recuperar a qualidade do ar em áreas</w:t>
      </w:r>
      <w:r>
        <w:rPr>
          <w:spacing w:val="-1"/>
        </w:rPr>
        <w:t xml:space="preserve"> </w:t>
      </w:r>
      <w:r>
        <w:t>degradadas.</w:t>
      </w:r>
    </w:p>
    <w:p w:rsidR="000C1331" w:rsidRDefault="00D83680" w:rsidP="009E2A01">
      <w:pPr>
        <w:pStyle w:val="Corpodetexto"/>
        <w:spacing w:line="360" w:lineRule="auto"/>
        <w:ind w:right="233" w:firstLine="851"/>
        <w:jc w:val="both"/>
      </w:pPr>
      <w:r>
        <w:t>Destarte,</w:t>
      </w:r>
      <w:r>
        <w:t xml:space="preserve"> o PRONAR tem como objetivo principal, limitar a nível nacional a emissão de poluentes na atmosfera por tipologia, estabelecendo dois tipos de padrões de qualidade do ar, os primários e os secundários, apontando como padrões primários as concentrações de p</w:t>
      </w:r>
      <w:r>
        <w:t>oluentes que, ultrapassados, poderão afetar a saúde da população, podendo ser entendidos como níveis máximos toleráveis de concentração de poluentes atmosféricos.</w:t>
      </w:r>
    </w:p>
    <w:p w:rsidR="000C1331" w:rsidRDefault="00D83680" w:rsidP="009E2A01">
      <w:pPr>
        <w:pStyle w:val="Corpodetexto"/>
        <w:spacing w:line="360" w:lineRule="auto"/>
        <w:ind w:right="233" w:firstLine="911"/>
        <w:jc w:val="both"/>
      </w:pPr>
      <w:r>
        <w:t xml:space="preserve">Já os padrões secundários seriam as concentrações de poluentes atmosféricos </w:t>
      </w:r>
      <w:r>
        <w:lastRenderedPageBreak/>
        <w:t>abaixo das quais se prevê o mínimo efeito adverso sobre o bem estar da população, assim como o mínimo de dano à fauna, à flora, aos materiais e ao meio ambiente em geral, podendo s</w:t>
      </w:r>
      <w:r>
        <w:t>er entendidos como níveis desejados de concentração de poluentes os padrões secundários.</w:t>
      </w:r>
    </w:p>
    <w:p w:rsidR="000C1331" w:rsidRDefault="00D83680" w:rsidP="009E2A01">
      <w:pPr>
        <w:pStyle w:val="Corpodetexto"/>
        <w:spacing w:line="360" w:lineRule="auto"/>
        <w:ind w:right="232" w:firstLine="851"/>
        <w:jc w:val="both"/>
      </w:pPr>
      <w:r>
        <w:t>Além do instrumento de limitação de emissão de poluentes a resolução</w:t>
      </w:r>
      <w:proofErr w:type="gramStart"/>
      <w:r>
        <w:t xml:space="preserve">  </w:t>
      </w:r>
      <w:proofErr w:type="gramEnd"/>
      <w:r>
        <w:t>CONAMA 005/1989, também estabeleceu outras estratégias de proteção à qualidade do ar que faz-se n</w:t>
      </w:r>
      <w:r>
        <w:t>ecessário serem citados, como: a) a adoção de padrões nacional de qualidade do ar; b) a prevenção de deterioração significativa de qualidade do ar; c) o monitoramento da qualidade do ar; d) o gerenciamento do licenciamento de fontes de poluição do ar; e) o</w:t>
      </w:r>
      <w:r>
        <w:t xml:space="preserve"> inventário nacional de fontes poluentes do ar e por fim, f) as gestões políticas e o desenvolvimento nacional na área de poluição do</w:t>
      </w:r>
      <w:r>
        <w:rPr>
          <w:spacing w:val="-1"/>
        </w:rPr>
        <w:t xml:space="preserve"> </w:t>
      </w:r>
      <w:r>
        <w:t>ar.</w:t>
      </w:r>
    </w:p>
    <w:p w:rsidR="000C1331" w:rsidRDefault="00D83680" w:rsidP="009E2A01">
      <w:pPr>
        <w:pStyle w:val="Corpodetexto"/>
        <w:spacing w:before="2" w:line="360" w:lineRule="auto"/>
        <w:ind w:right="232" w:firstLine="851"/>
        <w:jc w:val="both"/>
      </w:pPr>
      <w:r>
        <w:t xml:space="preserve">Assim, para que todos estes instrumentos de proteção à qualidade do ar fossem efetivamente implementados, a resolução </w:t>
      </w:r>
      <w:r>
        <w:t>estabeleceu metas a serem atingidas em curto,</w:t>
      </w:r>
      <w:r w:rsidR="009E2A01">
        <w:t xml:space="preserve"> </w:t>
      </w:r>
      <w:r>
        <w:t xml:space="preserve">médio e longo prazo, no sentido de possibilitar ao ente público competente que se </w:t>
      </w:r>
      <w:proofErr w:type="gramStart"/>
      <w:r>
        <w:t>organiza-se</w:t>
      </w:r>
      <w:proofErr w:type="gramEnd"/>
      <w:r>
        <w:t xml:space="preserve"> e desse prioridade na alocação de recursos financeiros para o cumprimento das ações. Entretanto, tais </w:t>
      </w:r>
      <w:r>
        <w:t xml:space="preserve">instrumentos não atingiram todas as metas estipuladas, sendo </w:t>
      </w:r>
      <w:proofErr w:type="gramStart"/>
      <w:r>
        <w:t>implementados</w:t>
      </w:r>
      <w:proofErr w:type="gramEnd"/>
      <w:r>
        <w:t xml:space="preserve"> limites emissão de poluentes apenas para óleo e o carvão.</w:t>
      </w:r>
    </w:p>
    <w:p w:rsidR="000C1331" w:rsidRDefault="00D83680">
      <w:pPr>
        <w:pStyle w:val="Corpodetexto"/>
        <w:spacing w:line="360" w:lineRule="auto"/>
        <w:ind w:right="234" w:firstLine="851"/>
        <w:jc w:val="both"/>
      </w:pPr>
      <w:r>
        <w:t>No ano seguinte à criação do PRONAR, o CONAMA editou uma nova resolução com o objetivo de dar mais eficácia ao programa nac</w:t>
      </w:r>
      <w:r>
        <w:t>ional de controle de qualidade do ar, passando a vigorar em 28 de Junho de 1990, a resolução CONAMA 003, que em seu art. 1° estabeleceu novos padrões de qualidade do ar e em seu parágrafo único, especificou o que venha ser poluente atmosférico senão</w:t>
      </w:r>
      <w:r>
        <w:rPr>
          <w:spacing w:val="-1"/>
        </w:rPr>
        <w:t xml:space="preserve"> </w:t>
      </w:r>
      <w:r>
        <w:t>vejamo</w:t>
      </w:r>
      <w:r>
        <w:t>s:</w:t>
      </w:r>
    </w:p>
    <w:p w:rsidR="000C1331" w:rsidRDefault="000C1331">
      <w:pPr>
        <w:pStyle w:val="Corpodetexto"/>
        <w:spacing w:before="11"/>
        <w:ind w:left="0"/>
        <w:rPr>
          <w:sz w:val="35"/>
        </w:rPr>
      </w:pPr>
    </w:p>
    <w:p w:rsidR="000C1331" w:rsidRDefault="00D83680">
      <w:pPr>
        <w:ind w:left="2410" w:right="235"/>
        <w:jc w:val="both"/>
        <w:rPr>
          <w:sz w:val="20"/>
        </w:rPr>
      </w:pPr>
      <w:r>
        <w:rPr>
          <w:sz w:val="20"/>
        </w:rPr>
        <w:t>Art. 1º - São padrões de qualidade do ar as concentrações de poluentes atmosféricos que, ultrapassadas, poderão afetar a saúde, a segurança e o bem- estar da população, bem como ocasionar danos à flora e à fauna, aos materiais e ao meio ambiente em ger</w:t>
      </w:r>
      <w:r>
        <w:rPr>
          <w:sz w:val="20"/>
        </w:rPr>
        <w:t>al.</w:t>
      </w:r>
    </w:p>
    <w:p w:rsidR="000C1331" w:rsidRDefault="00D83680">
      <w:pPr>
        <w:ind w:left="2410" w:right="240"/>
        <w:jc w:val="both"/>
        <w:rPr>
          <w:sz w:val="20"/>
        </w:rPr>
      </w:pPr>
      <w:r>
        <w:rPr>
          <w:sz w:val="20"/>
        </w:rPr>
        <w:t>Parágrafo Único - Entende-se como poluente atmosférico qualquer forma de matéria ou energia com intensidade e em quantidade, concentração, tempo ou características em desacordo com os níveis estabelecidos, e que tornem ou possam tornar o ar:</w:t>
      </w:r>
    </w:p>
    <w:p w:rsidR="000C1331" w:rsidRDefault="00D83680">
      <w:pPr>
        <w:ind w:left="2410" w:right="3355"/>
        <w:rPr>
          <w:sz w:val="20"/>
        </w:rPr>
      </w:pPr>
      <w:r>
        <w:rPr>
          <w:sz w:val="20"/>
        </w:rPr>
        <w:t xml:space="preserve">I – </w:t>
      </w:r>
      <w:proofErr w:type="gramStart"/>
      <w:r>
        <w:rPr>
          <w:sz w:val="20"/>
        </w:rPr>
        <w:t>impróp</w:t>
      </w:r>
      <w:r>
        <w:rPr>
          <w:sz w:val="20"/>
        </w:rPr>
        <w:t>rio, nocivo</w:t>
      </w:r>
      <w:proofErr w:type="gramEnd"/>
      <w:r>
        <w:rPr>
          <w:sz w:val="20"/>
        </w:rPr>
        <w:t xml:space="preserve"> ou ofensivo à saúde; II - inconveniente ao bem-estar público; III - danoso aos materiais, à fauna e flora.</w:t>
      </w:r>
    </w:p>
    <w:p w:rsidR="000C1331" w:rsidRDefault="00D83680">
      <w:pPr>
        <w:ind w:left="2410" w:right="238"/>
        <w:jc w:val="both"/>
        <w:rPr>
          <w:sz w:val="20"/>
        </w:rPr>
      </w:pPr>
      <w:r>
        <w:rPr>
          <w:sz w:val="20"/>
        </w:rPr>
        <w:t>IV - prejudicial à segurança. Ao uso e gozo da propriedade e às atividades normais da comunidade (resolução CONOMA 003/1990).</w:t>
      </w:r>
    </w:p>
    <w:p w:rsidR="000C1331" w:rsidRDefault="000C1331">
      <w:pPr>
        <w:pStyle w:val="Corpodetexto"/>
        <w:ind w:left="0"/>
        <w:rPr>
          <w:sz w:val="22"/>
        </w:rPr>
      </w:pPr>
    </w:p>
    <w:p w:rsidR="000C1331" w:rsidRDefault="00D83680">
      <w:pPr>
        <w:pStyle w:val="Corpodetexto"/>
        <w:spacing w:before="162" w:line="360" w:lineRule="auto"/>
        <w:ind w:right="232" w:firstLine="851"/>
        <w:jc w:val="both"/>
      </w:pPr>
      <w:r>
        <w:t xml:space="preserve">Desta feita, a resolução CONAMA 003/1990, pode ser considerada um dos maiores avanços do Programa Nacional de Qualidade do Ar, ao estabelecer em seu art. 2° os conceitos de padrões primários e secundários, e nos arts. </w:t>
      </w:r>
      <w:proofErr w:type="gramStart"/>
      <w:r>
        <w:t>3°, 4° e 5°</w:t>
      </w:r>
      <w:proofErr w:type="gramEnd"/>
      <w:r>
        <w:t xml:space="preserve"> as diretrizes a serem adot</w:t>
      </w:r>
      <w:r>
        <w:t xml:space="preserve">adas para o proteção da qualidade do ar, senão vejamos; o art. 3° especifica quais os tipos de poluentes serão monitorados bem como o limite máximo que poderá ser emitidos e </w:t>
      </w:r>
      <w:r>
        <w:lastRenderedPageBreak/>
        <w:t>os métodos de medição, ao todo o artigo se refere a sete tipos de poluentes confor</w:t>
      </w:r>
      <w:r>
        <w:t>me explicitado na tabela 1 abaixo:</w:t>
      </w:r>
    </w:p>
    <w:p w:rsidR="000C1331" w:rsidRDefault="000C1331">
      <w:pPr>
        <w:pStyle w:val="Corpodetexto"/>
        <w:spacing w:before="5"/>
        <w:ind w:left="0"/>
        <w:rPr>
          <w:sz w:val="36"/>
        </w:rPr>
      </w:pPr>
    </w:p>
    <w:p w:rsidR="000C1331" w:rsidRDefault="00D83680">
      <w:pPr>
        <w:pStyle w:val="Heading1"/>
        <w:spacing w:before="1" w:line="360" w:lineRule="auto"/>
        <w:ind w:right="236"/>
        <w:jc w:val="both"/>
      </w:pPr>
      <w:r>
        <w:t>Tabela 1 - Padrões Nacionais de Qualidade do Ar - Resolução CONAMA nº 3, de 28/06/90</w:t>
      </w:r>
    </w:p>
    <w:p w:rsidR="000C1331" w:rsidRDefault="000C1331">
      <w:pPr>
        <w:pStyle w:val="Corpodetexto"/>
        <w:spacing w:before="9"/>
        <w:ind w:left="0"/>
        <w:rPr>
          <w:b/>
          <w:sz w:val="17"/>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69"/>
        <w:gridCol w:w="1636"/>
        <w:gridCol w:w="1434"/>
        <w:gridCol w:w="1569"/>
        <w:gridCol w:w="2303"/>
      </w:tblGrid>
      <w:tr w:rsidR="000C1331">
        <w:trPr>
          <w:trHeight w:val="725"/>
        </w:trPr>
        <w:tc>
          <w:tcPr>
            <w:tcW w:w="1969" w:type="dxa"/>
            <w:tcBorders>
              <w:bottom w:val="double" w:sz="2" w:space="0" w:color="000000"/>
              <w:right w:val="double" w:sz="2" w:space="0" w:color="000000"/>
            </w:tcBorders>
            <w:shd w:val="clear" w:color="auto" w:fill="CCCCCC"/>
          </w:tcPr>
          <w:p w:rsidR="000C1331" w:rsidRDefault="000C1331">
            <w:pPr>
              <w:pStyle w:val="TableParagraph"/>
              <w:spacing w:before="10"/>
              <w:rPr>
                <w:b/>
                <w:sz w:val="20"/>
              </w:rPr>
            </w:pPr>
          </w:p>
          <w:p w:rsidR="000C1331" w:rsidRDefault="00D83680">
            <w:pPr>
              <w:pStyle w:val="TableParagraph"/>
              <w:spacing w:before="0"/>
              <w:ind w:left="568"/>
              <w:rPr>
                <w:b/>
                <w:sz w:val="20"/>
              </w:rPr>
            </w:pPr>
            <w:r>
              <w:rPr>
                <w:b/>
                <w:sz w:val="20"/>
              </w:rPr>
              <w:t>Poluente</w:t>
            </w:r>
          </w:p>
        </w:tc>
        <w:tc>
          <w:tcPr>
            <w:tcW w:w="1636" w:type="dxa"/>
            <w:tcBorders>
              <w:left w:val="double" w:sz="2" w:space="0" w:color="000000"/>
              <w:bottom w:val="double" w:sz="2" w:space="0" w:color="000000"/>
              <w:right w:val="double" w:sz="2" w:space="0" w:color="000000"/>
            </w:tcBorders>
            <w:shd w:val="clear" w:color="auto" w:fill="CCCCCC"/>
          </w:tcPr>
          <w:p w:rsidR="000C1331" w:rsidRDefault="00D83680">
            <w:pPr>
              <w:pStyle w:val="TableParagraph"/>
              <w:spacing w:before="125"/>
              <w:ind w:left="253" w:right="218" w:firstLine="124"/>
              <w:rPr>
                <w:b/>
                <w:sz w:val="20"/>
              </w:rPr>
            </w:pPr>
            <w:r>
              <w:rPr>
                <w:b/>
                <w:sz w:val="20"/>
              </w:rPr>
              <w:t>Tempo de Amostragem</w:t>
            </w:r>
          </w:p>
        </w:tc>
        <w:tc>
          <w:tcPr>
            <w:tcW w:w="1434" w:type="dxa"/>
            <w:tcBorders>
              <w:left w:val="double" w:sz="2" w:space="0" w:color="000000"/>
              <w:bottom w:val="double" w:sz="2" w:space="0" w:color="000000"/>
              <w:right w:val="double" w:sz="2" w:space="0" w:color="000000"/>
            </w:tcBorders>
            <w:shd w:val="clear" w:color="auto" w:fill="CCCCCC"/>
          </w:tcPr>
          <w:p w:rsidR="000C1331" w:rsidRDefault="00D83680">
            <w:pPr>
              <w:pStyle w:val="TableParagraph"/>
              <w:spacing w:before="12"/>
              <w:ind w:left="311" w:right="302" w:firstLine="2"/>
              <w:jc w:val="center"/>
              <w:rPr>
                <w:b/>
                <w:sz w:val="20"/>
              </w:rPr>
            </w:pPr>
            <w:r>
              <w:rPr>
                <w:b/>
                <w:sz w:val="20"/>
              </w:rPr>
              <w:t xml:space="preserve">Padrão </w:t>
            </w:r>
            <w:r>
              <w:rPr>
                <w:b/>
                <w:spacing w:val="-1"/>
                <w:sz w:val="20"/>
              </w:rPr>
              <w:t xml:space="preserve">Primário </w:t>
            </w:r>
            <w:proofErr w:type="spellStart"/>
            <w:r>
              <w:rPr>
                <w:b/>
                <w:sz w:val="20"/>
              </w:rPr>
              <w:t>µg</w:t>
            </w:r>
            <w:proofErr w:type="spellEnd"/>
            <w:r>
              <w:rPr>
                <w:b/>
                <w:sz w:val="20"/>
              </w:rPr>
              <w:t>/m3</w:t>
            </w:r>
          </w:p>
        </w:tc>
        <w:tc>
          <w:tcPr>
            <w:tcW w:w="1569" w:type="dxa"/>
            <w:tcBorders>
              <w:left w:val="double" w:sz="2" w:space="0" w:color="000000"/>
              <w:bottom w:val="double" w:sz="2" w:space="0" w:color="000000"/>
              <w:right w:val="double" w:sz="2" w:space="0" w:color="000000"/>
            </w:tcBorders>
            <w:shd w:val="clear" w:color="auto" w:fill="CCCCCC"/>
          </w:tcPr>
          <w:p w:rsidR="000C1331" w:rsidRDefault="00D83680">
            <w:pPr>
              <w:pStyle w:val="TableParagraph"/>
              <w:spacing w:before="12"/>
              <w:ind w:left="286" w:right="272" w:hanging="1"/>
              <w:jc w:val="center"/>
              <w:rPr>
                <w:b/>
                <w:sz w:val="20"/>
              </w:rPr>
            </w:pPr>
            <w:r>
              <w:rPr>
                <w:b/>
                <w:sz w:val="20"/>
              </w:rPr>
              <w:t xml:space="preserve">Padrão </w:t>
            </w:r>
            <w:r>
              <w:rPr>
                <w:b/>
                <w:w w:val="95"/>
                <w:sz w:val="20"/>
              </w:rPr>
              <w:t xml:space="preserve">Secundário </w:t>
            </w:r>
            <w:proofErr w:type="spellStart"/>
            <w:r>
              <w:rPr>
                <w:b/>
                <w:sz w:val="20"/>
              </w:rPr>
              <w:t>µg</w:t>
            </w:r>
            <w:proofErr w:type="spellEnd"/>
            <w:r>
              <w:rPr>
                <w:b/>
                <w:sz w:val="20"/>
              </w:rPr>
              <w:t>/m3</w:t>
            </w:r>
          </w:p>
        </w:tc>
        <w:tc>
          <w:tcPr>
            <w:tcW w:w="2303" w:type="dxa"/>
            <w:tcBorders>
              <w:left w:val="double" w:sz="2" w:space="0" w:color="000000"/>
              <w:bottom w:val="double" w:sz="2" w:space="0" w:color="000000"/>
            </w:tcBorders>
            <w:shd w:val="clear" w:color="auto" w:fill="CCCCCC"/>
          </w:tcPr>
          <w:p w:rsidR="000C1331" w:rsidRDefault="000C1331">
            <w:pPr>
              <w:pStyle w:val="TableParagraph"/>
              <w:spacing w:before="10"/>
              <w:rPr>
                <w:b/>
                <w:sz w:val="20"/>
              </w:rPr>
            </w:pPr>
          </w:p>
          <w:p w:rsidR="000C1331" w:rsidRDefault="00D83680">
            <w:pPr>
              <w:pStyle w:val="TableParagraph"/>
              <w:spacing w:before="0"/>
              <w:ind w:left="313"/>
              <w:rPr>
                <w:b/>
                <w:sz w:val="20"/>
              </w:rPr>
            </w:pPr>
            <w:r>
              <w:rPr>
                <w:b/>
                <w:sz w:val="20"/>
              </w:rPr>
              <w:t>Método de Medição</w:t>
            </w:r>
          </w:p>
        </w:tc>
      </w:tr>
      <w:tr w:rsidR="000C1331">
        <w:trPr>
          <w:trHeight w:val="776"/>
        </w:trPr>
        <w:tc>
          <w:tcPr>
            <w:tcW w:w="1969" w:type="dxa"/>
            <w:tcBorders>
              <w:top w:val="double" w:sz="2" w:space="0" w:color="000000"/>
              <w:right w:val="double" w:sz="2" w:space="0" w:color="000000"/>
            </w:tcBorders>
          </w:tcPr>
          <w:p w:rsidR="000C1331" w:rsidRDefault="00D83680">
            <w:pPr>
              <w:pStyle w:val="TableParagraph"/>
              <w:spacing w:before="156"/>
              <w:ind w:left="162" w:right="190"/>
              <w:rPr>
                <w:sz w:val="20"/>
              </w:rPr>
            </w:pPr>
            <w:r>
              <w:rPr>
                <w:sz w:val="20"/>
              </w:rPr>
              <w:t>Partículas totais em suspensão (PTS)</w:t>
            </w:r>
          </w:p>
        </w:tc>
        <w:tc>
          <w:tcPr>
            <w:tcW w:w="1636" w:type="dxa"/>
            <w:tcBorders>
              <w:top w:val="double" w:sz="2" w:space="0" w:color="000000"/>
              <w:left w:val="double" w:sz="2" w:space="0" w:color="000000"/>
              <w:right w:val="double" w:sz="2" w:space="0" w:color="000000"/>
            </w:tcBorders>
          </w:tcPr>
          <w:p w:rsidR="000C1331" w:rsidRDefault="00D83680">
            <w:pPr>
              <w:pStyle w:val="TableParagraph"/>
              <w:ind w:left="411"/>
              <w:rPr>
                <w:sz w:val="20"/>
              </w:rPr>
            </w:pPr>
            <w:r>
              <w:rPr>
                <w:sz w:val="20"/>
              </w:rPr>
              <w:t>24 horas*</w:t>
            </w:r>
          </w:p>
          <w:p w:rsidR="000C1331" w:rsidRDefault="000C1331">
            <w:pPr>
              <w:pStyle w:val="TableParagraph"/>
              <w:spacing w:before="3"/>
              <w:rPr>
                <w:b/>
                <w:sz w:val="24"/>
              </w:rPr>
            </w:pPr>
          </w:p>
          <w:p w:rsidR="000C1331" w:rsidRDefault="00D83680">
            <w:pPr>
              <w:pStyle w:val="TableParagraph"/>
              <w:spacing w:before="0"/>
              <w:ind w:left="469"/>
              <w:rPr>
                <w:sz w:val="20"/>
              </w:rPr>
            </w:pPr>
            <w:r>
              <w:rPr>
                <w:sz w:val="20"/>
              </w:rPr>
              <w:t>MGA**</w:t>
            </w:r>
          </w:p>
        </w:tc>
        <w:tc>
          <w:tcPr>
            <w:tcW w:w="1434" w:type="dxa"/>
            <w:tcBorders>
              <w:top w:val="double" w:sz="2" w:space="0" w:color="000000"/>
              <w:left w:val="double" w:sz="2" w:space="0" w:color="000000"/>
              <w:right w:val="double" w:sz="2" w:space="0" w:color="000000"/>
            </w:tcBorders>
          </w:tcPr>
          <w:p w:rsidR="000C1331" w:rsidRDefault="00D83680">
            <w:pPr>
              <w:pStyle w:val="TableParagraph"/>
              <w:ind w:left="530" w:right="519"/>
              <w:jc w:val="center"/>
              <w:rPr>
                <w:sz w:val="20"/>
              </w:rPr>
            </w:pPr>
            <w:r>
              <w:rPr>
                <w:sz w:val="20"/>
              </w:rPr>
              <w:t>240</w:t>
            </w:r>
          </w:p>
          <w:p w:rsidR="000C1331" w:rsidRDefault="000C1331">
            <w:pPr>
              <w:pStyle w:val="TableParagraph"/>
              <w:spacing w:before="3"/>
              <w:rPr>
                <w:b/>
                <w:sz w:val="24"/>
              </w:rPr>
            </w:pPr>
          </w:p>
          <w:p w:rsidR="000C1331" w:rsidRDefault="00D83680">
            <w:pPr>
              <w:pStyle w:val="TableParagraph"/>
              <w:spacing w:before="0"/>
              <w:ind w:left="530" w:right="519"/>
              <w:jc w:val="center"/>
              <w:rPr>
                <w:sz w:val="20"/>
              </w:rPr>
            </w:pPr>
            <w:r>
              <w:rPr>
                <w:sz w:val="20"/>
              </w:rPr>
              <w:t>80</w:t>
            </w:r>
          </w:p>
        </w:tc>
        <w:tc>
          <w:tcPr>
            <w:tcW w:w="1569" w:type="dxa"/>
            <w:tcBorders>
              <w:top w:val="double" w:sz="2" w:space="0" w:color="000000"/>
              <w:left w:val="double" w:sz="2" w:space="0" w:color="000000"/>
              <w:right w:val="double" w:sz="2" w:space="0" w:color="000000"/>
            </w:tcBorders>
          </w:tcPr>
          <w:p w:rsidR="000C1331" w:rsidRDefault="00D83680">
            <w:pPr>
              <w:pStyle w:val="TableParagraph"/>
              <w:ind w:left="601" w:right="583"/>
              <w:jc w:val="center"/>
              <w:rPr>
                <w:sz w:val="20"/>
              </w:rPr>
            </w:pPr>
            <w:r>
              <w:rPr>
                <w:sz w:val="20"/>
              </w:rPr>
              <w:t>150</w:t>
            </w:r>
          </w:p>
          <w:p w:rsidR="000C1331" w:rsidRDefault="000C1331">
            <w:pPr>
              <w:pStyle w:val="TableParagraph"/>
              <w:spacing w:before="3"/>
              <w:rPr>
                <w:b/>
                <w:sz w:val="24"/>
              </w:rPr>
            </w:pPr>
          </w:p>
          <w:p w:rsidR="000C1331" w:rsidRDefault="00D83680">
            <w:pPr>
              <w:pStyle w:val="TableParagraph"/>
              <w:spacing w:before="0"/>
              <w:ind w:left="601" w:right="583"/>
              <w:jc w:val="center"/>
              <w:rPr>
                <w:sz w:val="20"/>
              </w:rPr>
            </w:pPr>
            <w:r>
              <w:rPr>
                <w:sz w:val="20"/>
              </w:rPr>
              <w:t>60</w:t>
            </w:r>
          </w:p>
        </w:tc>
        <w:tc>
          <w:tcPr>
            <w:tcW w:w="2303" w:type="dxa"/>
            <w:tcBorders>
              <w:top w:val="double" w:sz="2" w:space="0" w:color="000000"/>
              <w:left w:val="double" w:sz="2" w:space="0" w:color="000000"/>
            </w:tcBorders>
          </w:tcPr>
          <w:p w:rsidR="000C1331" w:rsidRDefault="00D83680">
            <w:pPr>
              <w:pStyle w:val="TableParagraph"/>
              <w:spacing w:before="156"/>
              <w:ind w:left="121"/>
              <w:rPr>
                <w:sz w:val="20"/>
              </w:rPr>
            </w:pPr>
            <w:proofErr w:type="spellStart"/>
            <w:r>
              <w:rPr>
                <w:sz w:val="20"/>
              </w:rPr>
              <w:t>Amostrador</w:t>
            </w:r>
            <w:proofErr w:type="spellEnd"/>
            <w:r>
              <w:rPr>
                <w:sz w:val="20"/>
              </w:rPr>
              <w:t xml:space="preserve"> de grandes volumes</w:t>
            </w:r>
          </w:p>
        </w:tc>
      </w:tr>
    </w:tbl>
    <w:p w:rsidR="000C1331" w:rsidRDefault="000C1331">
      <w:pPr>
        <w:pStyle w:val="Corpodetexto"/>
        <w:spacing w:before="5"/>
        <w:ind w:left="0"/>
        <w:rPr>
          <w:b/>
          <w:sz w:val="10"/>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69"/>
        <w:gridCol w:w="1636"/>
        <w:gridCol w:w="1434"/>
        <w:gridCol w:w="1569"/>
        <w:gridCol w:w="2303"/>
      </w:tblGrid>
      <w:tr w:rsidR="000C1331">
        <w:trPr>
          <w:trHeight w:val="776"/>
        </w:trPr>
        <w:tc>
          <w:tcPr>
            <w:tcW w:w="1969" w:type="dxa"/>
            <w:tcBorders>
              <w:bottom w:val="double" w:sz="2" w:space="0" w:color="000000"/>
              <w:right w:val="double" w:sz="2" w:space="0" w:color="000000"/>
            </w:tcBorders>
          </w:tcPr>
          <w:p w:rsidR="000C1331" w:rsidRDefault="000C1331">
            <w:pPr>
              <w:pStyle w:val="TableParagraph"/>
              <w:spacing w:before="8"/>
              <w:rPr>
                <w:b/>
              </w:rPr>
            </w:pPr>
          </w:p>
          <w:p w:rsidR="000C1331" w:rsidRDefault="00D83680">
            <w:pPr>
              <w:pStyle w:val="TableParagraph"/>
              <w:spacing w:before="1"/>
              <w:ind w:left="162"/>
              <w:rPr>
                <w:sz w:val="20"/>
              </w:rPr>
            </w:pPr>
            <w:r>
              <w:rPr>
                <w:sz w:val="20"/>
              </w:rPr>
              <w:t>Fumaça</w:t>
            </w:r>
          </w:p>
        </w:tc>
        <w:tc>
          <w:tcPr>
            <w:tcW w:w="1636" w:type="dxa"/>
            <w:tcBorders>
              <w:left w:val="double" w:sz="2" w:space="0" w:color="000000"/>
              <w:bottom w:val="double" w:sz="2" w:space="0" w:color="000000"/>
              <w:right w:val="double" w:sz="2" w:space="0" w:color="000000"/>
            </w:tcBorders>
          </w:tcPr>
          <w:p w:rsidR="000C1331" w:rsidRDefault="00D83680">
            <w:pPr>
              <w:pStyle w:val="TableParagraph"/>
              <w:spacing w:before="7"/>
              <w:ind w:left="411"/>
              <w:rPr>
                <w:sz w:val="20"/>
              </w:rPr>
            </w:pPr>
            <w:r>
              <w:rPr>
                <w:sz w:val="20"/>
              </w:rPr>
              <w:t>24</w:t>
            </w:r>
            <w:r>
              <w:rPr>
                <w:spacing w:val="-2"/>
                <w:sz w:val="20"/>
              </w:rPr>
              <w:t xml:space="preserve"> </w:t>
            </w:r>
            <w:r>
              <w:rPr>
                <w:sz w:val="20"/>
              </w:rPr>
              <w:t>horas*</w:t>
            </w:r>
          </w:p>
          <w:p w:rsidR="000C1331" w:rsidRDefault="000C1331">
            <w:pPr>
              <w:pStyle w:val="TableParagraph"/>
              <w:spacing w:before="3"/>
              <w:rPr>
                <w:b/>
                <w:sz w:val="24"/>
              </w:rPr>
            </w:pPr>
          </w:p>
          <w:p w:rsidR="000C1331" w:rsidRDefault="00D83680">
            <w:pPr>
              <w:pStyle w:val="TableParagraph"/>
              <w:spacing w:before="0"/>
              <w:ind w:left="401"/>
              <w:rPr>
                <w:sz w:val="20"/>
              </w:rPr>
            </w:pPr>
            <w:r>
              <w:rPr>
                <w:sz w:val="20"/>
              </w:rPr>
              <w:t>MMA***</w:t>
            </w:r>
          </w:p>
        </w:tc>
        <w:tc>
          <w:tcPr>
            <w:tcW w:w="1434" w:type="dxa"/>
            <w:tcBorders>
              <w:left w:val="double" w:sz="2" w:space="0" w:color="000000"/>
              <w:bottom w:val="double" w:sz="2" w:space="0" w:color="000000"/>
              <w:right w:val="double" w:sz="2" w:space="0" w:color="000000"/>
            </w:tcBorders>
          </w:tcPr>
          <w:p w:rsidR="000C1331" w:rsidRDefault="00D83680">
            <w:pPr>
              <w:pStyle w:val="TableParagraph"/>
              <w:spacing w:before="7"/>
              <w:ind w:left="530" w:right="519"/>
              <w:jc w:val="center"/>
              <w:rPr>
                <w:sz w:val="20"/>
              </w:rPr>
            </w:pPr>
            <w:r>
              <w:rPr>
                <w:sz w:val="20"/>
              </w:rPr>
              <w:t>150</w:t>
            </w:r>
          </w:p>
          <w:p w:rsidR="000C1331" w:rsidRDefault="000C1331">
            <w:pPr>
              <w:pStyle w:val="TableParagraph"/>
              <w:spacing w:before="3"/>
              <w:rPr>
                <w:b/>
                <w:sz w:val="24"/>
              </w:rPr>
            </w:pPr>
          </w:p>
          <w:p w:rsidR="000C1331" w:rsidRDefault="00D83680">
            <w:pPr>
              <w:pStyle w:val="TableParagraph"/>
              <w:spacing w:before="0"/>
              <w:ind w:left="530" w:right="519"/>
              <w:jc w:val="center"/>
              <w:rPr>
                <w:sz w:val="20"/>
              </w:rPr>
            </w:pPr>
            <w:r>
              <w:rPr>
                <w:sz w:val="20"/>
              </w:rPr>
              <w:t>60</w:t>
            </w:r>
          </w:p>
        </w:tc>
        <w:tc>
          <w:tcPr>
            <w:tcW w:w="1569" w:type="dxa"/>
            <w:tcBorders>
              <w:left w:val="double" w:sz="2" w:space="0" w:color="000000"/>
              <w:bottom w:val="double" w:sz="2" w:space="0" w:color="000000"/>
              <w:right w:val="double" w:sz="2" w:space="0" w:color="000000"/>
            </w:tcBorders>
          </w:tcPr>
          <w:p w:rsidR="000C1331" w:rsidRDefault="00D83680">
            <w:pPr>
              <w:pStyle w:val="TableParagraph"/>
              <w:spacing w:before="7"/>
              <w:ind w:left="601" w:right="583"/>
              <w:jc w:val="center"/>
              <w:rPr>
                <w:sz w:val="20"/>
              </w:rPr>
            </w:pPr>
            <w:r>
              <w:rPr>
                <w:sz w:val="20"/>
              </w:rPr>
              <w:t>100</w:t>
            </w:r>
          </w:p>
          <w:p w:rsidR="000C1331" w:rsidRDefault="000C1331">
            <w:pPr>
              <w:pStyle w:val="TableParagraph"/>
              <w:spacing w:before="3"/>
              <w:rPr>
                <w:b/>
                <w:sz w:val="24"/>
              </w:rPr>
            </w:pPr>
          </w:p>
          <w:p w:rsidR="000C1331" w:rsidRDefault="00D83680">
            <w:pPr>
              <w:pStyle w:val="TableParagraph"/>
              <w:spacing w:before="0"/>
              <w:ind w:left="601" w:right="583"/>
              <w:jc w:val="center"/>
              <w:rPr>
                <w:sz w:val="20"/>
              </w:rPr>
            </w:pPr>
            <w:r>
              <w:rPr>
                <w:sz w:val="20"/>
              </w:rPr>
              <w:t>40</w:t>
            </w:r>
          </w:p>
        </w:tc>
        <w:tc>
          <w:tcPr>
            <w:tcW w:w="2303" w:type="dxa"/>
            <w:tcBorders>
              <w:left w:val="double" w:sz="2" w:space="0" w:color="000000"/>
              <w:bottom w:val="double" w:sz="2" w:space="0" w:color="000000"/>
            </w:tcBorders>
          </w:tcPr>
          <w:p w:rsidR="000C1331" w:rsidRDefault="000C1331">
            <w:pPr>
              <w:pStyle w:val="TableParagraph"/>
              <w:spacing w:before="8"/>
              <w:rPr>
                <w:b/>
              </w:rPr>
            </w:pPr>
          </w:p>
          <w:p w:rsidR="000C1331" w:rsidRDefault="00D83680">
            <w:pPr>
              <w:pStyle w:val="TableParagraph"/>
              <w:spacing w:before="1"/>
              <w:ind w:left="121"/>
              <w:rPr>
                <w:sz w:val="20"/>
              </w:rPr>
            </w:pPr>
            <w:r>
              <w:rPr>
                <w:sz w:val="20"/>
              </w:rPr>
              <w:t>Refletância</w:t>
            </w:r>
          </w:p>
        </w:tc>
      </w:tr>
      <w:tr w:rsidR="000C1331">
        <w:trPr>
          <w:trHeight w:val="782"/>
        </w:trPr>
        <w:tc>
          <w:tcPr>
            <w:tcW w:w="1969" w:type="dxa"/>
            <w:tcBorders>
              <w:top w:val="double" w:sz="2" w:space="0" w:color="000000"/>
              <w:bottom w:val="double" w:sz="2" w:space="0" w:color="000000"/>
              <w:right w:val="double" w:sz="2" w:space="0" w:color="000000"/>
            </w:tcBorders>
          </w:tcPr>
          <w:p w:rsidR="000C1331" w:rsidRDefault="000C1331">
            <w:pPr>
              <w:pStyle w:val="TableParagraph"/>
              <w:spacing w:before="6"/>
              <w:rPr>
                <w:b/>
                <w:sz w:val="23"/>
              </w:rPr>
            </w:pPr>
          </w:p>
          <w:p w:rsidR="000C1331" w:rsidRDefault="00D83680">
            <w:pPr>
              <w:pStyle w:val="TableParagraph"/>
              <w:spacing w:before="0"/>
              <w:ind w:left="162"/>
              <w:rPr>
                <w:sz w:val="20"/>
              </w:rPr>
            </w:pPr>
            <w:proofErr w:type="gramStart"/>
            <w:r>
              <w:rPr>
                <w:sz w:val="20"/>
              </w:rPr>
              <w:t>Partículas Inaláveis</w:t>
            </w:r>
            <w:proofErr w:type="gramEnd"/>
          </w:p>
        </w:tc>
        <w:tc>
          <w:tcPr>
            <w:tcW w:w="1636"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spacing w:before="14"/>
              <w:ind w:left="390" w:right="376"/>
              <w:jc w:val="center"/>
              <w:rPr>
                <w:sz w:val="20"/>
              </w:rPr>
            </w:pPr>
            <w:r>
              <w:rPr>
                <w:sz w:val="20"/>
              </w:rPr>
              <w:t>24 horas*</w:t>
            </w:r>
          </w:p>
          <w:p w:rsidR="000C1331" w:rsidRDefault="000C1331">
            <w:pPr>
              <w:pStyle w:val="TableParagraph"/>
              <w:spacing w:before="5"/>
              <w:rPr>
                <w:b/>
                <w:sz w:val="24"/>
              </w:rPr>
            </w:pPr>
          </w:p>
          <w:p w:rsidR="000C1331" w:rsidRDefault="00D83680">
            <w:pPr>
              <w:pStyle w:val="TableParagraph"/>
              <w:spacing w:before="0"/>
              <w:ind w:left="390" w:right="376"/>
              <w:jc w:val="center"/>
              <w:rPr>
                <w:sz w:val="20"/>
              </w:rPr>
            </w:pPr>
            <w:r>
              <w:rPr>
                <w:sz w:val="20"/>
              </w:rPr>
              <w:t>MMA</w:t>
            </w:r>
          </w:p>
        </w:tc>
        <w:tc>
          <w:tcPr>
            <w:tcW w:w="1434"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spacing w:before="14"/>
              <w:ind w:left="530" w:right="519"/>
              <w:jc w:val="center"/>
              <w:rPr>
                <w:sz w:val="20"/>
              </w:rPr>
            </w:pPr>
            <w:r>
              <w:rPr>
                <w:sz w:val="20"/>
              </w:rPr>
              <w:t>150</w:t>
            </w:r>
          </w:p>
          <w:p w:rsidR="000C1331" w:rsidRDefault="000C1331">
            <w:pPr>
              <w:pStyle w:val="TableParagraph"/>
              <w:spacing w:before="5"/>
              <w:rPr>
                <w:b/>
                <w:sz w:val="24"/>
              </w:rPr>
            </w:pPr>
          </w:p>
          <w:p w:rsidR="000C1331" w:rsidRDefault="00D83680">
            <w:pPr>
              <w:pStyle w:val="TableParagraph"/>
              <w:spacing w:before="0"/>
              <w:ind w:left="530" w:right="519"/>
              <w:jc w:val="center"/>
              <w:rPr>
                <w:sz w:val="20"/>
              </w:rPr>
            </w:pPr>
            <w:r>
              <w:rPr>
                <w:sz w:val="20"/>
              </w:rPr>
              <w:t>50</w:t>
            </w:r>
          </w:p>
        </w:tc>
        <w:tc>
          <w:tcPr>
            <w:tcW w:w="1569"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spacing w:before="14"/>
              <w:ind w:left="601" w:right="583"/>
              <w:jc w:val="center"/>
              <w:rPr>
                <w:sz w:val="20"/>
              </w:rPr>
            </w:pPr>
            <w:r>
              <w:rPr>
                <w:sz w:val="20"/>
              </w:rPr>
              <w:t>150</w:t>
            </w:r>
          </w:p>
          <w:p w:rsidR="000C1331" w:rsidRDefault="000C1331">
            <w:pPr>
              <w:pStyle w:val="TableParagraph"/>
              <w:spacing w:before="5"/>
              <w:rPr>
                <w:b/>
                <w:sz w:val="24"/>
              </w:rPr>
            </w:pPr>
          </w:p>
          <w:p w:rsidR="000C1331" w:rsidRDefault="00D83680">
            <w:pPr>
              <w:pStyle w:val="TableParagraph"/>
              <w:spacing w:before="0"/>
              <w:ind w:left="601" w:right="583"/>
              <w:jc w:val="center"/>
              <w:rPr>
                <w:sz w:val="20"/>
              </w:rPr>
            </w:pPr>
            <w:r>
              <w:rPr>
                <w:sz w:val="20"/>
              </w:rPr>
              <w:t>50</w:t>
            </w:r>
          </w:p>
        </w:tc>
        <w:tc>
          <w:tcPr>
            <w:tcW w:w="2303" w:type="dxa"/>
            <w:tcBorders>
              <w:top w:val="double" w:sz="2" w:space="0" w:color="000000"/>
              <w:left w:val="double" w:sz="2" w:space="0" w:color="000000"/>
              <w:bottom w:val="double" w:sz="2" w:space="0" w:color="000000"/>
            </w:tcBorders>
          </w:tcPr>
          <w:p w:rsidR="000C1331" w:rsidRDefault="00D83680">
            <w:pPr>
              <w:pStyle w:val="TableParagraph"/>
              <w:spacing w:before="155" w:line="229" w:lineRule="exact"/>
              <w:ind w:left="121"/>
              <w:rPr>
                <w:sz w:val="20"/>
              </w:rPr>
            </w:pPr>
            <w:r>
              <w:rPr>
                <w:sz w:val="20"/>
              </w:rPr>
              <w:t>Separação inercial</w:t>
            </w:r>
          </w:p>
          <w:p w:rsidR="000C1331" w:rsidRDefault="00D83680">
            <w:pPr>
              <w:pStyle w:val="TableParagraph"/>
              <w:spacing w:before="0" w:line="229" w:lineRule="exact"/>
              <w:ind w:left="121"/>
              <w:rPr>
                <w:sz w:val="20"/>
              </w:rPr>
            </w:pPr>
            <w:r>
              <w:rPr>
                <w:sz w:val="20"/>
              </w:rPr>
              <w:t>/ filtração</w:t>
            </w:r>
          </w:p>
        </w:tc>
      </w:tr>
      <w:tr w:rsidR="000C1331">
        <w:trPr>
          <w:trHeight w:val="785"/>
        </w:trPr>
        <w:tc>
          <w:tcPr>
            <w:tcW w:w="1969" w:type="dxa"/>
            <w:tcBorders>
              <w:top w:val="double" w:sz="2" w:space="0" w:color="000000"/>
              <w:bottom w:val="double" w:sz="2" w:space="0" w:color="000000"/>
              <w:right w:val="double" w:sz="2" w:space="0" w:color="000000"/>
            </w:tcBorders>
          </w:tcPr>
          <w:p w:rsidR="000C1331" w:rsidRDefault="000C1331">
            <w:pPr>
              <w:pStyle w:val="TableParagraph"/>
              <w:spacing w:before="6"/>
              <w:rPr>
                <w:b/>
                <w:sz w:val="23"/>
              </w:rPr>
            </w:pPr>
          </w:p>
          <w:p w:rsidR="000C1331" w:rsidRDefault="00D83680">
            <w:pPr>
              <w:pStyle w:val="TableParagraph"/>
              <w:spacing w:before="0"/>
              <w:ind w:left="162"/>
              <w:rPr>
                <w:sz w:val="20"/>
              </w:rPr>
            </w:pPr>
            <w:r>
              <w:rPr>
                <w:sz w:val="20"/>
              </w:rPr>
              <w:t>Dióxido de enxofre</w:t>
            </w:r>
          </w:p>
        </w:tc>
        <w:tc>
          <w:tcPr>
            <w:tcW w:w="1636"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390" w:right="376"/>
              <w:jc w:val="center"/>
              <w:rPr>
                <w:sz w:val="20"/>
              </w:rPr>
            </w:pPr>
            <w:r>
              <w:rPr>
                <w:sz w:val="20"/>
              </w:rPr>
              <w:t>24 horas*</w:t>
            </w:r>
          </w:p>
          <w:p w:rsidR="000C1331" w:rsidRDefault="000C1331">
            <w:pPr>
              <w:pStyle w:val="TableParagraph"/>
              <w:spacing w:before="5"/>
              <w:rPr>
                <w:b/>
                <w:sz w:val="24"/>
              </w:rPr>
            </w:pPr>
          </w:p>
          <w:p w:rsidR="000C1331" w:rsidRDefault="00D83680">
            <w:pPr>
              <w:pStyle w:val="TableParagraph"/>
              <w:spacing w:before="0"/>
              <w:ind w:left="390" w:right="376"/>
              <w:jc w:val="center"/>
              <w:rPr>
                <w:sz w:val="20"/>
              </w:rPr>
            </w:pPr>
            <w:r>
              <w:rPr>
                <w:sz w:val="20"/>
              </w:rPr>
              <w:t>MMA</w:t>
            </w:r>
          </w:p>
        </w:tc>
        <w:tc>
          <w:tcPr>
            <w:tcW w:w="1434"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530" w:right="519"/>
              <w:jc w:val="center"/>
              <w:rPr>
                <w:sz w:val="20"/>
              </w:rPr>
            </w:pPr>
            <w:r>
              <w:rPr>
                <w:sz w:val="20"/>
              </w:rPr>
              <w:t>365</w:t>
            </w:r>
          </w:p>
          <w:p w:rsidR="000C1331" w:rsidRDefault="000C1331">
            <w:pPr>
              <w:pStyle w:val="TableParagraph"/>
              <w:spacing w:before="5"/>
              <w:rPr>
                <w:b/>
                <w:sz w:val="24"/>
              </w:rPr>
            </w:pPr>
          </w:p>
          <w:p w:rsidR="000C1331" w:rsidRDefault="00D83680">
            <w:pPr>
              <w:pStyle w:val="TableParagraph"/>
              <w:spacing w:before="0"/>
              <w:ind w:left="530" w:right="519"/>
              <w:jc w:val="center"/>
              <w:rPr>
                <w:sz w:val="20"/>
              </w:rPr>
            </w:pPr>
            <w:r>
              <w:rPr>
                <w:sz w:val="20"/>
              </w:rPr>
              <w:t>80</w:t>
            </w:r>
          </w:p>
        </w:tc>
        <w:tc>
          <w:tcPr>
            <w:tcW w:w="1569"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601" w:right="583"/>
              <w:jc w:val="center"/>
              <w:rPr>
                <w:sz w:val="20"/>
              </w:rPr>
            </w:pPr>
            <w:r>
              <w:rPr>
                <w:sz w:val="20"/>
              </w:rPr>
              <w:t>100</w:t>
            </w:r>
          </w:p>
          <w:p w:rsidR="000C1331" w:rsidRDefault="000C1331">
            <w:pPr>
              <w:pStyle w:val="TableParagraph"/>
              <w:spacing w:before="5"/>
              <w:rPr>
                <w:b/>
                <w:sz w:val="24"/>
              </w:rPr>
            </w:pPr>
          </w:p>
          <w:p w:rsidR="000C1331" w:rsidRDefault="00D83680">
            <w:pPr>
              <w:pStyle w:val="TableParagraph"/>
              <w:spacing w:before="0"/>
              <w:ind w:left="601" w:right="583"/>
              <w:jc w:val="center"/>
              <w:rPr>
                <w:sz w:val="20"/>
              </w:rPr>
            </w:pPr>
            <w:r>
              <w:rPr>
                <w:sz w:val="20"/>
              </w:rPr>
              <w:t>40</w:t>
            </w:r>
          </w:p>
        </w:tc>
        <w:tc>
          <w:tcPr>
            <w:tcW w:w="2303" w:type="dxa"/>
            <w:tcBorders>
              <w:top w:val="double" w:sz="2" w:space="0" w:color="000000"/>
              <w:left w:val="double" w:sz="2" w:space="0" w:color="000000"/>
              <w:bottom w:val="double" w:sz="2" w:space="0" w:color="000000"/>
            </w:tcBorders>
          </w:tcPr>
          <w:p w:rsidR="000C1331" w:rsidRDefault="000C1331">
            <w:pPr>
              <w:pStyle w:val="TableParagraph"/>
              <w:spacing w:before="6"/>
              <w:rPr>
                <w:b/>
                <w:sz w:val="23"/>
              </w:rPr>
            </w:pPr>
          </w:p>
          <w:p w:rsidR="000C1331" w:rsidRDefault="00D83680">
            <w:pPr>
              <w:pStyle w:val="TableParagraph"/>
              <w:spacing w:before="0"/>
              <w:ind w:left="121"/>
              <w:rPr>
                <w:sz w:val="20"/>
              </w:rPr>
            </w:pPr>
            <w:proofErr w:type="spellStart"/>
            <w:r>
              <w:rPr>
                <w:sz w:val="20"/>
              </w:rPr>
              <w:t>Pararosalínica</w:t>
            </w:r>
            <w:proofErr w:type="spellEnd"/>
          </w:p>
        </w:tc>
      </w:tr>
      <w:tr w:rsidR="000C1331">
        <w:trPr>
          <w:trHeight w:val="785"/>
        </w:trPr>
        <w:tc>
          <w:tcPr>
            <w:tcW w:w="1969" w:type="dxa"/>
            <w:tcBorders>
              <w:top w:val="double" w:sz="2" w:space="0" w:color="000000"/>
              <w:bottom w:val="double" w:sz="2" w:space="0" w:color="000000"/>
              <w:right w:val="double" w:sz="2" w:space="0" w:color="000000"/>
            </w:tcBorders>
          </w:tcPr>
          <w:p w:rsidR="000C1331" w:rsidRDefault="00D83680">
            <w:pPr>
              <w:pStyle w:val="TableParagraph"/>
              <w:spacing w:before="155"/>
              <w:ind w:left="162" w:right="684"/>
              <w:rPr>
                <w:sz w:val="20"/>
              </w:rPr>
            </w:pPr>
            <w:r>
              <w:rPr>
                <w:sz w:val="20"/>
              </w:rPr>
              <w:t>Monóxido de carbono</w:t>
            </w:r>
          </w:p>
        </w:tc>
        <w:tc>
          <w:tcPr>
            <w:tcW w:w="1636"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500"/>
              <w:rPr>
                <w:sz w:val="20"/>
              </w:rPr>
            </w:pPr>
            <w:r>
              <w:rPr>
                <w:sz w:val="20"/>
              </w:rPr>
              <w:t>1</w:t>
            </w:r>
            <w:r>
              <w:rPr>
                <w:spacing w:val="-3"/>
                <w:sz w:val="20"/>
              </w:rPr>
              <w:t xml:space="preserve"> </w:t>
            </w:r>
            <w:r>
              <w:rPr>
                <w:sz w:val="20"/>
              </w:rPr>
              <w:t>hora*</w:t>
            </w:r>
          </w:p>
          <w:p w:rsidR="000C1331" w:rsidRDefault="000C1331">
            <w:pPr>
              <w:pStyle w:val="TableParagraph"/>
              <w:spacing w:before="3"/>
              <w:rPr>
                <w:b/>
                <w:sz w:val="24"/>
              </w:rPr>
            </w:pPr>
          </w:p>
          <w:p w:rsidR="000C1331" w:rsidRDefault="00D83680">
            <w:pPr>
              <w:pStyle w:val="TableParagraph"/>
              <w:spacing w:before="1"/>
              <w:ind w:left="459"/>
              <w:rPr>
                <w:sz w:val="20"/>
              </w:rPr>
            </w:pPr>
            <w:r>
              <w:rPr>
                <w:sz w:val="20"/>
              </w:rPr>
              <w:t>8</w:t>
            </w:r>
            <w:r>
              <w:rPr>
                <w:spacing w:val="-2"/>
                <w:sz w:val="20"/>
              </w:rPr>
              <w:t xml:space="preserve"> </w:t>
            </w:r>
            <w:r>
              <w:rPr>
                <w:sz w:val="20"/>
              </w:rPr>
              <w:t>horas*</w:t>
            </w:r>
          </w:p>
        </w:tc>
        <w:tc>
          <w:tcPr>
            <w:tcW w:w="1434"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30"/>
              <w:rPr>
                <w:sz w:val="20"/>
              </w:rPr>
            </w:pPr>
            <w:r>
              <w:rPr>
                <w:sz w:val="20"/>
              </w:rPr>
              <w:t xml:space="preserve">40.000 (35 </w:t>
            </w:r>
            <w:proofErr w:type="spellStart"/>
            <w:proofErr w:type="gramStart"/>
            <w:r>
              <w:rPr>
                <w:sz w:val="20"/>
              </w:rPr>
              <w:t>ppm</w:t>
            </w:r>
            <w:proofErr w:type="spellEnd"/>
            <w:proofErr w:type="gramEnd"/>
            <w:r>
              <w:rPr>
                <w:sz w:val="20"/>
              </w:rPr>
              <w:t>)</w:t>
            </w:r>
          </w:p>
          <w:p w:rsidR="000C1331" w:rsidRDefault="000C1331">
            <w:pPr>
              <w:pStyle w:val="TableParagraph"/>
              <w:spacing w:before="3"/>
              <w:rPr>
                <w:b/>
                <w:sz w:val="24"/>
              </w:rPr>
            </w:pPr>
          </w:p>
          <w:p w:rsidR="000C1331" w:rsidRDefault="00D83680">
            <w:pPr>
              <w:pStyle w:val="TableParagraph"/>
              <w:spacing w:before="1"/>
              <w:ind w:left="81"/>
              <w:rPr>
                <w:sz w:val="20"/>
              </w:rPr>
            </w:pPr>
            <w:r>
              <w:rPr>
                <w:sz w:val="20"/>
              </w:rPr>
              <w:t>10.000 (</w:t>
            </w:r>
            <w:proofErr w:type="gramStart"/>
            <w:r>
              <w:rPr>
                <w:sz w:val="20"/>
              </w:rPr>
              <w:t>9</w:t>
            </w:r>
            <w:proofErr w:type="gramEnd"/>
            <w:r>
              <w:rPr>
                <w:sz w:val="20"/>
              </w:rPr>
              <w:t xml:space="preserve"> </w:t>
            </w:r>
            <w:proofErr w:type="spellStart"/>
            <w:r>
              <w:rPr>
                <w:sz w:val="20"/>
              </w:rPr>
              <w:t>ppm</w:t>
            </w:r>
            <w:proofErr w:type="spellEnd"/>
            <w:r>
              <w:rPr>
                <w:sz w:val="20"/>
              </w:rPr>
              <w:t>)</w:t>
            </w:r>
          </w:p>
        </w:tc>
        <w:tc>
          <w:tcPr>
            <w:tcW w:w="1569"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99"/>
              <w:rPr>
                <w:sz w:val="20"/>
              </w:rPr>
            </w:pPr>
            <w:r>
              <w:rPr>
                <w:sz w:val="20"/>
              </w:rPr>
              <w:t xml:space="preserve">40.000 (35 </w:t>
            </w:r>
            <w:proofErr w:type="spellStart"/>
            <w:proofErr w:type="gramStart"/>
            <w:r>
              <w:rPr>
                <w:sz w:val="20"/>
              </w:rPr>
              <w:t>ppm</w:t>
            </w:r>
            <w:proofErr w:type="spellEnd"/>
            <w:proofErr w:type="gramEnd"/>
            <w:r>
              <w:rPr>
                <w:sz w:val="20"/>
              </w:rPr>
              <w:t>)</w:t>
            </w:r>
          </w:p>
          <w:p w:rsidR="000C1331" w:rsidRDefault="000C1331">
            <w:pPr>
              <w:pStyle w:val="TableParagraph"/>
              <w:spacing w:before="3"/>
              <w:rPr>
                <w:b/>
                <w:sz w:val="24"/>
              </w:rPr>
            </w:pPr>
          </w:p>
          <w:p w:rsidR="000C1331" w:rsidRDefault="00D83680">
            <w:pPr>
              <w:pStyle w:val="TableParagraph"/>
              <w:spacing w:before="1"/>
              <w:ind w:left="149"/>
              <w:rPr>
                <w:sz w:val="20"/>
              </w:rPr>
            </w:pPr>
            <w:r>
              <w:rPr>
                <w:sz w:val="20"/>
              </w:rPr>
              <w:t>10.000 (</w:t>
            </w:r>
            <w:proofErr w:type="gramStart"/>
            <w:r>
              <w:rPr>
                <w:sz w:val="20"/>
              </w:rPr>
              <w:t>9</w:t>
            </w:r>
            <w:proofErr w:type="gramEnd"/>
            <w:r>
              <w:rPr>
                <w:sz w:val="20"/>
              </w:rPr>
              <w:t xml:space="preserve"> </w:t>
            </w:r>
            <w:proofErr w:type="spellStart"/>
            <w:r>
              <w:rPr>
                <w:sz w:val="20"/>
              </w:rPr>
              <w:t>ppm</w:t>
            </w:r>
            <w:proofErr w:type="spellEnd"/>
            <w:r>
              <w:rPr>
                <w:sz w:val="20"/>
              </w:rPr>
              <w:t>)</w:t>
            </w:r>
          </w:p>
        </w:tc>
        <w:tc>
          <w:tcPr>
            <w:tcW w:w="2303" w:type="dxa"/>
            <w:tcBorders>
              <w:top w:val="double" w:sz="2" w:space="0" w:color="000000"/>
              <w:left w:val="double" w:sz="2" w:space="0" w:color="000000"/>
              <w:bottom w:val="double" w:sz="2" w:space="0" w:color="000000"/>
            </w:tcBorders>
          </w:tcPr>
          <w:p w:rsidR="000C1331" w:rsidRDefault="00D83680">
            <w:pPr>
              <w:pStyle w:val="TableParagraph"/>
              <w:spacing w:before="155"/>
              <w:ind w:left="121" w:right="582"/>
              <w:rPr>
                <w:sz w:val="20"/>
              </w:rPr>
            </w:pPr>
            <w:r>
              <w:rPr>
                <w:sz w:val="20"/>
              </w:rPr>
              <w:t>Infravermelho não- dispersivo</w:t>
            </w:r>
          </w:p>
        </w:tc>
      </w:tr>
      <w:tr w:rsidR="000C1331">
        <w:trPr>
          <w:trHeight w:val="274"/>
        </w:trPr>
        <w:tc>
          <w:tcPr>
            <w:tcW w:w="1969" w:type="dxa"/>
            <w:tcBorders>
              <w:top w:val="double" w:sz="2" w:space="0" w:color="000000"/>
              <w:bottom w:val="double" w:sz="2" w:space="0" w:color="000000"/>
              <w:right w:val="double" w:sz="2" w:space="0" w:color="000000"/>
            </w:tcBorders>
          </w:tcPr>
          <w:p w:rsidR="000C1331" w:rsidRDefault="00D83680">
            <w:pPr>
              <w:pStyle w:val="TableParagraph"/>
              <w:ind w:left="162"/>
              <w:rPr>
                <w:sz w:val="20"/>
              </w:rPr>
            </w:pPr>
            <w:r>
              <w:rPr>
                <w:sz w:val="20"/>
              </w:rPr>
              <w:t>Ozônio</w:t>
            </w:r>
          </w:p>
        </w:tc>
        <w:tc>
          <w:tcPr>
            <w:tcW w:w="1636"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500"/>
              <w:rPr>
                <w:sz w:val="20"/>
              </w:rPr>
            </w:pPr>
            <w:r>
              <w:rPr>
                <w:sz w:val="20"/>
              </w:rPr>
              <w:t>1 hora*</w:t>
            </w:r>
          </w:p>
        </w:tc>
        <w:tc>
          <w:tcPr>
            <w:tcW w:w="1434"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530" w:right="519"/>
              <w:jc w:val="center"/>
              <w:rPr>
                <w:sz w:val="20"/>
              </w:rPr>
            </w:pPr>
            <w:r>
              <w:rPr>
                <w:sz w:val="20"/>
              </w:rPr>
              <w:t>160</w:t>
            </w:r>
          </w:p>
        </w:tc>
        <w:tc>
          <w:tcPr>
            <w:tcW w:w="1569"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601" w:right="583"/>
              <w:jc w:val="center"/>
              <w:rPr>
                <w:sz w:val="20"/>
              </w:rPr>
            </w:pPr>
            <w:r>
              <w:rPr>
                <w:sz w:val="20"/>
              </w:rPr>
              <w:t>160</w:t>
            </w:r>
          </w:p>
        </w:tc>
        <w:tc>
          <w:tcPr>
            <w:tcW w:w="2303" w:type="dxa"/>
            <w:tcBorders>
              <w:top w:val="double" w:sz="2" w:space="0" w:color="000000"/>
              <w:left w:val="double" w:sz="2" w:space="0" w:color="000000"/>
              <w:bottom w:val="double" w:sz="2" w:space="0" w:color="000000"/>
            </w:tcBorders>
          </w:tcPr>
          <w:p w:rsidR="000C1331" w:rsidRDefault="00D83680">
            <w:pPr>
              <w:pStyle w:val="TableParagraph"/>
              <w:ind w:left="121"/>
              <w:rPr>
                <w:sz w:val="20"/>
              </w:rPr>
            </w:pPr>
            <w:proofErr w:type="spellStart"/>
            <w:r>
              <w:rPr>
                <w:sz w:val="20"/>
              </w:rPr>
              <w:t>Quimiluminscência</w:t>
            </w:r>
            <w:proofErr w:type="spellEnd"/>
          </w:p>
        </w:tc>
      </w:tr>
      <w:tr w:rsidR="000C1331">
        <w:trPr>
          <w:trHeight w:val="776"/>
        </w:trPr>
        <w:tc>
          <w:tcPr>
            <w:tcW w:w="1969" w:type="dxa"/>
            <w:tcBorders>
              <w:top w:val="double" w:sz="2" w:space="0" w:color="000000"/>
              <w:right w:val="double" w:sz="2" w:space="0" w:color="000000"/>
            </w:tcBorders>
          </w:tcPr>
          <w:p w:rsidR="000C1331" w:rsidRDefault="00D83680">
            <w:pPr>
              <w:pStyle w:val="TableParagraph"/>
              <w:spacing w:before="155"/>
              <w:ind w:left="162" w:right="862"/>
              <w:rPr>
                <w:sz w:val="20"/>
              </w:rPr>
            </w:pPr>
            <w:r>
              <w:rPr>
                <w:sz w:val="20"/>
              </w:rPr>
              <w:t>Dióxido de nitrogênio</w:t>
            </w:r>
          </w:p>
        </w:tc>
        <w:tc>
          <w:tcPr>
            <w:tcW w:w="1636" w:type="dxa"/>
            <w:tcBorders>
              <w:top w:val="double" w:sz="2" w:space="0" w:color="000000"/>
              <w:left w:val="double" w:sz="2" w:space="0" w:color="000000"/>
              <w:right w:val="double" w:sz="2" w:space="0" w:color="000000"/>
            </w:tcBorders>
          </w:tcPr>
          <w:p w:rsidR="000C1331" w:rsidRDefault="00D83680">
            <w:pPr>
              <w:pStyle w:val="TableParagraph"/>
              <w:ind w:left="386" w:right="376"/>
              <w:jc w:val="center"/>
              <w:rPr>
                <w:sz w:val="20"/>
              </w:rPr>
            </w:pPr>
            <w:r>
              <w:rPr>
                <w:sz w:val="20"/>
              </w:rPr>
              <w:t>1</w:t>
            </w:r>
            <w:r>
              <w:rPr>
                <w:spacing w:val="-2"/>
                <w:sz w:val="20"/>
              </w:rPr>
              <w:t xml:space="preserve"> </w:t>
            </w:r>
            <w:r>
              <w:rPr>
                <w:sz w:val="20"/>
              </w:rPr>
              <w:t>hora</w:t>
            </w:r>
          </w:p>
          <w:p w:rsidR="000C1331" w:rsidRDefault="000C1331">
            <w:pPr>
              <w:pStyle w:val="TableParagraph"/>
              <w:spacing w:before="5"/>
              <w:rPr>
                <w:b/>
                <w:sz w:val="24"/>
              </w:rPr>
            </w:pPr>
          </w:p>
          <w:p w:rsidR="000C1331" w:rsidRDefault="00D83680">
            <w:pPr>
              <w:pStyle w:val="TableParagraph"/>
              <w:spacing w:before="0" w:line="229" w:lineRule="exact"/>
              <w:ind w:left="390" w:right="376"/>
              <w:jc w:val="center"/>
              <w:rPr>
                <w:sz w:val="20"/>
              </w:rPr>
            </w:pPr>
            <w:r>
              <w:rPr>
                <w:sz w:val="20"/>
              </w:rPr>
              <w:t>MMA</w:t>
            </w:r>
          </w:p>
        </w:tc>
        <w:tc>
          <w:tcPr>
            <w:tcW w:w="1434" w:type="dxa"/>
            <w:tcBorders>
              <w:top w:val="double" w:sz="2" w:space="0" w:color="000000"/>
              <w:left w:val="double" w:sz="2" w:space="0" w:color="000000"/>
              <w:right w:val="double" w:sz="2" w:space="0" w:color="000000"/>
            </w:tcBorders>
          </w:tcPr>
          <w:p w:rsidR="000C1331" w:rsidRDefault="00D83680">
            <w:pPr>
              <w:pStyle w:val="TableParagraph"/>
              <w:ind w:left="530" w:right="519"/>
              <w:jc w:val="center"/>
              <w:rPr>
                <w:sz w:val="20"/>
              </w:rPr>
            </w:pPr>
            <w:r>
              <w:rPr>
                <w:sz w:val="20"/>
              </w:rPr>
              <w:t>320</w:t>
            </w:r>
          </w:p>
          <w:p w:rsidR="000C1331" w:rsidRDefault="000C1331">
            <w:pPr>
              <w:pStyle w:val="TableParagraph"/>
              <w:spacing w:before="5"/>
              <w:rPr>
                <w:b/>
                <w:sz w:val="24"/>
              </w:rPr>
            </w:pPr>
          </w:p>
          <w:p w:rsidR="000C1331" w:rsidRDefault="00D83680">
            <w:pPr>
              <w:pStyle w:val="TableParagraph"/>
              <w:spacing w:before="0" w:line="229" w:lineRule="exact"/>
              <w:ind w:left="530" w:right="519"/>
              <w:jc w:val="center"/>
              <w:rPr>
                <w:sz w:val="20"/>
              </w:rPr>
            </w:pPr>
            <w:r>
              <w:rPr>
                <w:sz w:val="20"/>
              </w:rPr>
              <w:t>100</w:t>
            </w:r>
          </w:p>
        </w:tc>
        <w:tc>
          <w:tcPr>
            <w:tcW w:w="1569" w:type="dxa"/>
            <w:tcBorders>
              <w:top w:val="double" w:sz="2" w:space="0" w:color="000000"/>
              <w:left w:val="double" w:sz="2" w:space="0" w:color="000000"/>
              <w:right w:val="double" w:sz="2" w:space="0" w:color="000000"/>
            </w:tcBorders>
          </w:tcPr>
          <w:p w:rsidR="000C1331" w:rsidRDefault="00D83680">
            <w:pPr>
              <w:pStyle w:val="TableParagraph"/>
              <w:ind w:left="601" w:right="583"/>
              <w:jc w:val="center"/>
              <w:rPr>
                <w:sz w:val="20"/>
              </w:rPr>
            </w:pPr>
            <w:r>
              <w:rPr>
                <w:sz w:val="20"/>
              </w:rPr>
              <w:t>190</w:t>
            </w:r>
          </w:p>
          <w:p w:rsidR="000C1331" w:rsidRDefault="000C1331">
            <w:pPr>
              <w:pStyle w:val="TableParagraph"/>
              <w:spacing w:before="5"/>
              <w:rPr>
                <w:b/>
                <w:sz w:val="24"/>
              </w:rPr>
            </w:pPr>
          </w:p>
          <w:p w:rsidR="000C1331" w:rsidRDefault="00D83680">
            <w:pPr>
              <w:pStyle w:val="TableParagraph"/>
              <w:spacing w:before="0" w:line="229" w:lineRule="exact"/>
              <w:ind w:left="601" w:right="583"/>
              <w:jc w:val="center"/>
              <w:rPr>
                <w:sz w:val="20"/>
              </w:rPr>
            </w:pPr>
            <w:r>
              <w:rPr>
                <w:sz w:val="20"/>
              </w:rPr>
              <w:t>100</w:t>
            </w:r>
          </w:p>
        </w:tc>
        <w:tc>
          <w:tcPr>
            <w:tcW w:w="2303" w:type="dxa"/>
            <w:tcBorders>
              <w:top w:val="double" w:sz="2" w:space="0" w:color="000000"/>
              <w:left w:val="double" w:sz="2" w:space="0" w:color="000000"/>
            </w:tcBorders>
          </w:tcPr>
          <w:p w:rsidR="000C1331" w:rsidRDefault="000C1331">
            <w:pPr>
              <w:pStyle w:val="TableParagraph"/>
              <w:spacing w:before="6"/>
              <w:rPr>
                <w:b/>
                <w:sz w:val="23"/>
              </w:rPr>
            </w:pPr>
          </w:p>
          <w:p w:rsidR="000C1331" w:rsidRDefault="00D83680">
            <w:pPr>
              <w:pStyle w:val="TableParagraph"/>
              <w:spacing w:before="0"/>
              <w:ind w:left="121"/>
              <w:rPr>
                <w:sz w:val="20"/>
              </w:rPr>
            </w:pPr>
            <w:proofErr w:type="spellStart"/>
            <w:r>
              <w:rPr>
                <w:sz w:val="20"/>
              </w:rPr>
              <w:t>Quimiluminscência</w:t>
            </w:r>
            <w:proofErr w:type="spellEnd"/>
          </w:p>
        </w:tc>
      </w:tr>
    </w:tbl>
    <w:p w:rsidR="000C1331" w:rsidRDefault="00D83680">
      <w:pPr>
        <w:spacing w:before="27"/>
        <w:ind w:left="142"/>
        <w:rPr>
          <w:sz w:val="20"/>
        </w:rPr>
      </w:pPr>
      <w:r>
        <w:rPr>
          <w:sz w:val="20"/>
        </w:rPr>
        <w:t>Fonte: Ambiente Brasil, 2011.</w:t>
      </w:r>
    </w:p>
    <w:p w:rsidR="000C1331" w:rsidRDefault="000C1331">
      <w:pPr>
        <w:pStyle w:val="Corpodetexto"/>
        <w:spacing w:before="4"/>
        <w:ind w:left="0"/>
        <w:rPr>
          <w:sz w:val="19"/>
        </w:rPr>
      </w:pPr>
    </w:p>
    <w:p w:rsidR="000C1331" w:rsidRDefault="00D83680">
      <w:pPr>
        <w:pStyle w:val="Corpodetexto"/>
        <w:spacing w:line="360" w:lineRule="auto"/>
        <w:ind w:right="231" w:firstLine="851"/>
        <w:jc w:val="both"/>
      </w:pPr>
      <w:r>
        <w:t>O art. 4° da resolução CONAMA 003/1990, determina a quem compete o dever de monitoramento da emissão de poluentes na atmosfera, conferindo competência aos Estados. Por fim, o ultimo grande avanço dessa resolução está previsto no art. 5° que estabelece os n</w:t>
      </w:r>
      <w:r>
        <w:t>íveis de qualidade do ar em que deve ser elaborado um Plano Emergencial para Episódios Críticos de Poluição do Ar, visando providências dos governos dos Estados e dos Municípios, com o objetivo de prevenir grave e iminente risco à saúde da população por me</w:t>
      </w:r>
      <w:r>
        <w:t>io da má qualidade do ar, conforme tabela 2</w:t>
      </w:r>
      <w:r>
        <w:rPr>
          <w:spacing w:val="-2"/>
        </w:rPr>
        <w:t xml:space="preserve"> </w:t>
      </w:r>
      <w:r>
        <w:t>abaixo:</w:t>
      </w:r>
    </w:p>
    <w:p w:rsidR="000C1331" w:rsidRDefault="000C1331">
      <w:pPr>
        <w:pStyle w:val="Corpodetexto"/>
        <w:spacing w:before="5"/>
        <w:ind w:left="0"/>
        <w:rPr>
          <w:sz w:val="36"/>
        </w:rPr>
      </w:pPr>
    </w:p>
    <w:p w:rsidR="000C1331" w:rsidRDefault="00D83680">
      <w:pPr>
        <w:pStyle w:val="Heading1"/>
        <w:spacing w:line="360" w:lineRule="auto"/>
        <w:ind w:right="261"/>
      </w:pPr>
      <w:r>
        <w:t>Tabela 2 - Critérios para episódios agudos de poluição do ar - Resolução CONAMA nº 3, de</w:t>
      </w:r>
      <w:r>
        <w:rPr>
          <w:spacing w:val="-1"/>
        </w:rPr>
        <w:t xml:space="preserve"> </w:t>
      </w:r>
      <w:r>
        <w:t>28/06/90</w:t>
      </w:r>
    </w:p>
    <w:p w:rsidR="000C1331" w:rsidRDefault="000C1331">
      <w:pPr>
        <w:pStyle w:val="Corpodetexto"/>
        <w:spacing w:before="10"/>
        <w:ind w:left="0"/>
        <w:rPr>
          <w:b/>
          <w:sz w:val="17"/>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921"/>
        <w:gridCol w:w="1683"/>
        <w:gridCol w:w="1673"/>
        <w:gridCol w:w="1286"/>
      </w:tblGrid>
      <w:tr w:rsidR="000C1331">
        <w:trPr>
          <w:trHeight w:val="380"/>
        </w:trPr>
        <w:tc>
          <w:tcPr>
            <w:tcW w:w="3921" w:type="dxa"/>
            <w:vMerge w:val="restart"/>
            <w:tcBorders>
              <w:bottom w:val="double" w:sz="2" w:space="0" w:color="000000"/>
              <w:right w:val="double" w:sz="2" w:space="0" w:color="000000"/>
            </w:tcBorders>
            <w:shd w:val="clear" w:color="auto" w:fill="CCCCCC"/>
          </w:tcPr>
          <w:p w:rsidR="000C1331" w:rsidRDefault="000C1331">
            <w:pPr>
              <w:pStyle w:val="TableParagraph"/>
              <w:spacing w:before="9"/>
              <w:rPr>
                <w:b/>
                <w:sz w:val="19"/>
              </w:rPr>
            </w:pPr>
          </w:p>
          <w:p w:rsidR="000C1331" w:rsidRDefault="00D83680">
            <w:pPr>
              <w:pStyle w:val="TableParagraph"/>
              <w:spacing w:before="0"/>
              <w:ind w:left="21"/>
              <w:rPr>
                <w:b/>
                <w:sz w:val="20"/>
              </w:rPr>
            </w:pPr>
            <w:r>
              <w:rPr>
                <w:b/>
                <w:sz w:val="20"/>
              </w:rPr>
              <w:t>Parâmetros</w:t>
            </w:r>
          </w:p>
        </w:tc>
        <w:tc>
          <w:tcPr>
            <w:tcW w:w="4642" w:type="dxa"/>
            <w:gridSpan w:val="3"/>
            <w:tcBorders>
              <w:left w:val="double" w:sz="2" w:space="0" w:color="000000"/>
              <w:bottom w:val="double" w:sz="2" w:space="0" w:color="000000"/>
            </w:tcBorders>
            <w:shd w:val="clear" w:color="auto" w:fill="CCCCCC"/>
          </w:tcPr>
          <w:p w:rsidR="000C1331" w:rsidRDefault="00D83680">
            <w:pPr>
              <w:pStyle w:val="TableParagraph"/>
              <w:spacing w:before="12"/>
              <w:ind w:left="2437" w:right="1612"/>
              <w:jc w:val="center"/>
              <w:rPr>
                <w:b/>
                <w:sz w:val="20"/>
              </w:rPr>
            </w:pPr>
            <w:r>
              <w:rPr>
                <w:b/>
                <w:sz w:val="20"/>
              </w:rPr>
              <w:t>Níveis</w:t>
            </w:r>
          </w:p>
        </w:tc>
      </w:tr>
      <w:tr w:rsidR="000C1331">
        <w:trPr>
          <w:trHeight w:val="389"/>
        </w:trPr>
        <w:tc>
          <w:tcPr>
            <w:tcW w:w="3921" w:type="dxa"/>
            <w:vMerge/>
            <w:tcBorders>
              <w:top w:val="nil"/>
              <w:bottom w:val="double" w:sz="2" w:space="0" w:color="000000"/>
              <w:right w:val="double" w:sz="2" w:space="0" w:color="000000"/>
            </w:tcBorders>
            <w:shd w:val="clear" w:color="auto" w:fill="CCCCCC"/>
          </w:tcPr>
          <w:p w:rsidR="000C1331" w:rsidRDefault="000C1331">
            <w:pPr>
              <w:rPr>
                <w:sz w:val="2"/>
                <w:szCs w:val="2"/>
              </w:rPr>
            </w:pPr>
          </w:p>
        </w:tc>
        <w:tc>
          <w:tcPr>
            <w:tcW w:w="1683" w:type="dxa"/>
            <w:tcBorders>
              <w:top w:val="double" w:sz="2" w:space="0" w:color="000000"/>
              <w:left w:val="double" w:sz="2" w:space="0" w:color="000000"/>
              <w:bottom w:val="double" w:sz="2" w:space="0" w:color="000000"/>
              <w:right w:val="double" w:sz="2" w:space="0" w:color="000000"/>
            </w:tcBorders>
            <w:shd w:val="clear" w:color="auto" w:fill="CCCCCC"/>
          </w:tcPr>
          <w:p w:rsidR="000C1331" w:rsidRDefault="00D83680">
            <w:pPr>
              <w:pStyle w:val="TableParagraph"/>
              <w:spacing w:before="21"/>
              <w:ind w:left="464" w:right="433"/>
              <w:jc w:val="center"/>
              <w:rPr>
                <w:b/>
                <w:sz w:val="20"/>
              </w:rPr>
            </w:pPr>
            <w:r>
              <w:rPr>
                <w:b/>
                <w:sz w:val="20"/>
              </w:rPr>
              <w:t>Atenção</w:t>
            </w:r>
          </w:p>
        </w:tc>
        <w:tc>
          <w:tcPr>
            <w:tcW w:w="1673" w:type="dxa"/>
            <w:tcBorders>
              <w:top w:val="double" w:sz="2" w:space="0" w:color="000000"/>
              <w:left w:val="double" w:sz="2" w:space="0" w:color="000000"/>
              <w:bottom w:val="double" w:sz="2" w:space="0" w:color="000000"/>
              <w:right w:val="double" w:sz="2" w:space="0" w:color="000000"/>
            </w:tcBorders>
            <w:shd w:val="clear" w:color="auto" w:fill="CCCCCC"/>
          </w:tcPr>
          <w:p w:rsidR="000C1331" w:rsidRDefault="00D83680">
            <w:pPr>
              <w:pStyle w:val="TableParagraph"/>
              <w:spacing w:before="21"/>
              <w:ind w:left="523" w:right="519"/>
              <w:jc w:val="center"/>
              <w:rPr>
                <w:b/>
                <w:sz w:val="20"/>
              </w:rPr>
            </w:pPr>
            <w:r>
              <w:rPr>
                <w:b/>
                <w:sz w:val="20"/>
              </w:rPr>
              <w:t>Alerta</w:t>
            </w:r>
          </w:p>
        </w:tc>
        <w:tc>
          <w:tcPr>
            <w:tcW w:w="1286" w:type="dxa"/>
            <w:tcBorders>
              <w:top w:val="double" w:sz="2" w:space="0" w:color="000000"/>
              <w:left w:val="double" w:sz="2" w:space="0" w:color="000000"/>
              <w:bottom w:val="double" w:sz="2" w:space="0" w:color="000000"/>
            </w:tcBorders>
            <w:shd w:val="clear" w:color="auto" w:fill="CCCCCC"/>
          </w:tcPr>
          <w:p w:rsidR="000C1331" w:rsidRDefault="00D83680">
            <w:pPr>
              <w:pStyle w:val="TableParagraph"/>
              <w:spacing w:before="21"/>
              <w:ind w:left="103"/>
              <w:rPr>
                <w:b/>
                <w:sz w:val="20"/>
              </w:rPr>
            </w:pPr>
            <w:r>
              <w:rPr>
                <w:b/>
                <w:sz w:val="20"/>
              </w:rPr>
              <w:t>Emergência</w:t>
            </w:r>
          </w:p>
        </w:tc>
      </w:tr>
      <w:tr w:rsidR="000C1331">
        <w:trPr>
          <w:trHeight w:val="391"/>
        </w:trPr>
        <w:tc>
          <w:tcPr>
            <w:tcW w:w="3921" w:type="dxa"/>
            <w:tcBorders>
              <w:top w:val="double" w:sz="2" w:space="0" w:color="000000"/>
              <w:bottom w:val="double" w:sz="2" w:space="0" w:color="000000"/>
              <w:right w:val="double" w:sz="2" w:space="0" w:color="000000"/>
            </w:tcBorders>
          </w:tcPr>
          <w:p w:rsidR="000C1331" w:rsidRDefault="00D83680">
            <w:pPr>
              <w:pStyle w:val="TableParagraph"/>
              <w:ind w:left="71"/>
              <w:rPr>
                <w:sz w:val="20"/>
              </w:rPr>
            </w:pPr>
            <w:r>
              <w:rPr>
                <w:sz w:val="20"/>
              </w:rPr>
              <w:t>Partículas totais em suspensão (µ g/m3) - 24 h.</w:t>
            </w:r>
          </w:p>
        </w:tc>
        <w:tc>
          <w:tcPr>
            <w:tcW w:w="1683"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446" w:right="433"/>
              <w:jc w:val="center"/>
              <w:rPr>
                <w:sz w:val="20"/>
              </w:rPr>
            </w:pPr>
            <w:r>
              <w:rPr>
                <w:sz w:val="20"/>
              </w:rPr>
              <w:t>375</w:t>
            </w:r>
          </w:p>
        </w:tc>
        <w:tc>
          <w:tcPr>
            <w:tcW w:w="1673"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482" w:right="519"/>
              <w:jc w:val="center"/>
              <w:rPr>
                <w:sz w:val="20"/>
              </w:rPr>
            </w:pPr>
            <w:r>
              <w:rPr>
                <w:sz w:val="20"/>
              </w:rPr>
              <w:t>625</w:t>
            </w:r>
          </w:p>
        </w:tc>
        <w:tc>
          <w:tcPr>
            <w:tcW w:w="1286" w:type="dxa"/>
            <w:tcBorders>
              <w:top w:val="double" w:sz="2" w:space="0" w:color="000000"/>
              <w:left w:val="double" w:sz="2" w:space="0" w:color="000000"/>
              <w:bottom w:val="double" w:sz="2" w:space="0" w:color="000000"/>
            </w:tcBorders>
          </w:tcPr>
          <w:p w:rsidR="000C1331" w:rsidRDefault="00D83680">
            <w:pPr>
              <w:pStyle w:val="TableParagraph"/>
              <w:ind w:left="600"/>
              <w:rPr>
                <w:sz w:val="20"/>
              </w:rPr>
            </w:pPr>
            <w:r>
              <w:rPr>
                <w:sz w:val="20"/>
              </w:rPr>
              <w:t>875</w:t>
            </w:r>
          </w:p>
        </w:tc>
      </w:tr>
      <w:tr w:rsidR="000C1331">
        <w:trPr>
          <w:trHeight w:val="389"/>
        </w:trPr>
        <w:tc>
          <w:tcPr>
            <w:tcW w:w="3921" w:type="dxa"/>
            <w:tcBorders>
              <w:top w:val="double" w:sz="2" w:space="0" w:color="000000"/>
              <w:bottom w:val="double" w:sz="2" w:space="0" w:color="000000"/>
              <w:right w:val="double" w:sz="2" w:space="0" w:color="000000"/>
            </w:tcBorders>
          </w:tcPr>
          <w:p w:rsidR="000C1331" w:rsidRDefault="00D83680">
            <w:pPr>
              <w:pStyle w:val="TableParagraph"/>
              <w:spacing w:before="14"/>
              <w:ind w:left="71"/>
              <w:rPr>
                <w:sz w:val="20"/>
              </w:rPr>
            </w:pPr>
            <w:r>
              <w:rPr>
                <w:sz w:val="20"/>
              </w:rPr>
              <w:t>Fumaça (µ g/m3) - 24 h.</w:t>
            </w:r>
          </w:p>
        </w:tc>
        <w:tc>
          <w:tcPr>
            <w:tcW w:w="1683"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spacing w:before="14"/>
              <w:ind w:left="446" w:right="433"/>
              <w:jc w:val="center"/>
              <w:rPr>
                <w:sz w:val="20"/>
              </w:rPr>
            </w:pPr>
            <w:r>
              <w:rPr>
                <w:sz w:val="20"/>
              </w:rPr>
              <w:t>250</w:t>
            </w:r>
          </w:p>
        </w:tc>
        <w:tc>
          <w:tcPr>
            <w:tcW w:w="1673"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spacing w:before="14"/>
              <w:ind w:left="482" w:right="519"/>
              <w:jc w:val="center"/>
              <w:rPr>
                <w:sz w:val="20"/>
              </w:rPr>
            </w:pPr>
            <w:r>
              <w:rPr>
                <w:sz w:val="20"/>
              </w:rPr>
              <w:t>420</w:t>
            </w:r>
          </w:p>
        </w:tc>
        <w:tc>
          <w:tcPr>
            <w:tcW w:w="1286" w:type="dxa"/>
            <w:tcBorders>
              <w:top w:val="double" w:sz="2" w:space="0" w:color="000000"/>
              <w:left w:val="double" w:sz="2" w:space="0" w:color="000000"/>
              <w:bottom w:val="double" w:sz="2" w:space="0" w:color="000000"/>
            </w:tcBorders>
          </w:tcPr>
          <w:p w:rsidR="000C1331" w:rsidRDefault="00D83680">
            <w:pPr>
              <w:pStyle w:val="TableParagraph"/>
              <w:spacing w:before="14"/>
              <w:ind w:left="600"/>
              <w:rPr>
                <w:sz w:val="20"/>
              </w:rPr>
            </w:pPr>
            <w:r>
              <w:rPr>
                <w:sz w:val="20"/>
              </w:rPr>
              <w:t>500</w:t>
            </w:r>
          </w:p>
        </w:tc>
      </w:tr>
      <w:tr w:rsidR="000C1331">
        <w:trPr>
          <w:trHeight w:val="389"/>
        </w:trPr>
        <w:tc>
          <w:tcPr>
            <w:tcW w:w="3921" w:type="dxa"/>
            <w:tcBorders>
              <w:top w:val="double" w:sz="2" w:space="0" w:color="000000"/>
              <w:bottom w:val="double" w:sz="2" w:space="0" w:color="000000"/>
              <w:right w:val="double" w:sz="2" w:space="0" w:color="000000"/>
            </w:tcBorders>
          </w:tcPr>
          <w:p w:rsidR="000C1331" w:rsidRDefault="00D83680">
            <w:pPr>
              <w:pStyle w:val="TableParagraph"/>
              <w:ind w:left="71"/>
              <w:rPr>
                <w:sz w:val="20"/>
              </w:rPr>
            </w:pPr>
            <w:proofErr w:type="gramStart"/>
            <w:r>
              <w:rPr>
                <w:sz w:val="20"/>
              </w:rPr>
              <w:lastRenderedPageBreak/>
              <w:t>Partículas Inaláveis</w:t>
            </w:r>
            <w:proofErr w:type="gramEnd"/>
            <w:r>
              <w:rPr>
                <w:sz w:val="20"/>
              </w:rPr>
              <w:t xml:space="preserve"> (µ g/m3) - 24 h.</w:t>
            </w:r>
          </w:p>
        </w:tc>
        <w:tc>
          <w:tcPr>
            <w:tcW w:w="1683"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446" w:right="433"/>
              <w:jc w:val="center"/>
              <w:rPr>
                <w:sz w:val="20"/>
              </w:rPr>
            </w:pPr>
            <w:r>
              <w:rPr>
                <w:sz w:val="20"/>
              </w:rPr>
              <w:t>250</w:t>
            </w:r>
          </w:p>
        </w:tc>
        <w:tc>
          <w:tcPr>
            <w:tcW w:w="1673"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482" w:right="519"/>
              <w:jc w:val="center"/>
              <w:rPr>
                <w:sz w:val="20"/>
              </w:rPr>
            </w:pPr>
            <w:r>
              <w:rPr>
                <w:sz w:val="20"/>
              </w:rPr>
              <w:t>420</w:t>
            </w:r>
          </w:p>
        </w:tc>
        <w:tc>
          <w:tcPr>
            <w:tcW w:w="1286" w:type="dxa"/>
            <w:tcBorders>
              <w:top w:val="double" w:sz="2" w:space="0" w:color="000000"/>
              <w:left w:val="double" w:sz="2" w:space="0" w:color="000000"/>
              <w:bottom w:val="double" w:sz="2" w:space="0" w:color="000000"/>
            </w:tcBorders>
          </w:tcPr>
          <w:p w:rsidR="000C1331" w:rsidRDefault="00D83680">
            <w:pPr>
              <w:pStyle w:val="TableParagraph"/>
              <w:ind w:left="600"/>
              <w:rPr>
                <w:sz w:val="20"/>
              </w:rPr>
            </w:pPr>
            <w:r>
              <w:rPr>
                <w:sz w:val="20"/>
              </w:rPr>
              <w:t>500</w:t>
            </w:r>
          </w:p>
        </w:tc>
      </w:tr>
      <w:tr w:rsidR="000C1331">
        <w:trPr>
          <w:trHeight w:val="389"/>
        </w:trPr>
        <w:tc>
          <w:tcPr>
            <w:tcW w:w="3921" w:type="dxa"/>
            <w:tcBorders>
              <w:top w:val="double" w:sz="2" w:space="0" w:color="000000"/>
              <w:bottom w:val="double" w:sz="2" w:space="0" w:color="000000"/>
              <w:right w:val="double" w:sz="2" w:space="0" w:color="000000"/>
            </w:tcBorders>
          </w:tcPr>
          <w:p w:rsidR="000C1331" w:rsidRDefault="00D83680">
            <w:pPr>
              <w:pStyle w:val="TableParagraph"/>
              <w:ind w:left="71"/>
              <w:rPr>
                <w:sz w:val="20"/>
              </w:rPr>
            </w:pPr>
            <w:r>
              <w:rPr>
                <w:sz w:val="20"/>
              </w:rPr>
              <w:t>Dióxido de enxofre (µ g/m3) - 24 h.</w:t>
            </w:r>
          </w:p>
        </w:tc>
        <w:tc>
          <w:tcPr>
            <w:tcW w:w="1683"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446" w:right="433"/>
              <w:jc w:val="center"/>
              <w:rPr>
                <w:sz w:val="20"/>
              </w:rPr>
            </w:pPr>
            <w:r>
              <w:rPr>
                <w:sz w:val="20"/>
              </w:rPr>
              <w:t>800</w:t>
            </w:r>
          </w:p>
        </w:tc>
        <w:tc>
          <w:tcPr>
            <w:tcW w:w="1673"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478" w:right="519"/>
              <w:jc w:val="center"/>
              <w:rPr>
                <w:sz w:val="20"/>
              </w:rPr>
            </w:pPr>
            <w:r>
              <w:rPr>
                <w:sz w:val="20"/>
              </w:rPr>
              <w:t>1.600</w:t>
            </w:r>
          </w:p>
        </w:tc>
        <w:tc>
          <w:tcPr>
            <w:tcW w:w="1286" w:type="dxa"/>
            <w:tcBorders>
              <w:top w:val="double" w:sz="2" w:space="0" w:color="000000"/>
              <w:left w:val="double" w:sz="2" w:space="0" w:color="000000"/>
              <w:bottom w:val="double" w:sz="2" w:space="0" w:color="000000"/>
            </w:tcBorders>
          </w:tcPr>
          <w:p w:rsidR="000C1331" w:rsidRDefault="00D83680">
            <w:pPr>
              <w:pStyle w:val="TableParagraph"/>
              <w:ind w:left="523"/>
              <w:rPr>
                <w:sz w:val="20"/>
              </w:rPr>
            </w:pPr>
            <w:r>
              <w:rPr>
                <w:sz w:val="20"/>
              </w:rPr>
              <w:t>2.100</w:t>
            </w:r>
          </w:p>
        </w:tc>
      </w:tr>
      <w:tr w:rsidR="000C1331">
        <w:trPr>
          <w:trHeight w:val="391"/>
        </w:trPr>
        <w:tc>
          <w:tcPr>
            <w:tcW w:w="3921" w:type="dxa"/>
            <w:tcBorders>
              <w:top w:val="double" w:sz="2" w:space="0" w:color="000000"/>
              <w:bottom w:val="double" w:sz="2" w:space="0" w:color="000000"/>
              <w:right w:val="double" w:sz="2" w:space="0" w:color="000000"/>
            </w:tcBorders>
          </w:tcPr>
          <w:p w:rsidR="000C1331" w:rsidRDefault="00D83680">
            <w:pPr>
              <w:pStyle w:val="TableParagraph"/>
              <w:ind w:left="71"/>
              <w:rPr>
                <w:sz w:val="20"/>
              </w:rPr>
            </w:pPr>
            <w:r>
              <w:rPr>
                <w:sz w:val="20"/>
              </w:rPr>
              <w:t>Monóxido de carbono (</w:t>
            </w:r>
            <w:proofErr w:type="spellStart"/>
            <w:proofErr w:type="gramStart"/>
            <w:r>
              <w:rPr>
                <w:sz w:val="20"/>
              </w:rPr>
              <w:t>ppm</w:t>
            </w:r>
            <w:proofErr w:type="spellEnd"/>
            <w:proofErr w:type="gramEnd"/>
            <w:r>
              <w:rPr>
                <w:sz w:val="20"/>
              </w:rPr>
              <w:t>) - 8 h.</w:t>
            </w:r>
          </w:p>
        </w:tc>
        <w:tc>
          <w:tcPr>
            <w:tcW w:w="1683"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446" w:right="433"/>
              <w:jc w:val="center"/>
              <w:rPr>
                <w:sz w:val="20"/>
              </w:rPr>
            </w:pPr>
            <w:r>
              <w:rPr>
                <w:sz w:val="20"/>
              </w:rPr>
              <w:t>15</w:t>
            </w:r>
          </w:p>
        </w:tc>
        <w:tc>
          <w:tcPr>
            <w:tcW w:w="1673"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ind w:left="482" w:right="519"/>
              <w:jc w:val="center"/>
              <w:rPr>
                <w:sz w:val="20"/>
              </w:rPr>
            </w:pPr>
            <w:r>
              <w:rPr>
                <w:sz w:val="20"/>
              </w:rPr>
              <w:t>30</w:t>
            </w:r>
          </w:p>
        </w:tc>
        <w:tc>
          <w:tcPr>
            <w:tcW w:w="1286" w:type="dxa"/>
            <w:tcBorders>
              <w:top w:val="double" w:sz="2" w:space="0" w:color="000000"/>
              <w:left w:val="double" w:sz="2" w:space="0" w:color="000000"/>
              <w:bottom w:val="double" w:sz="2" w:space="0" w:color="000000"/>
            </w:tcBorders>
          </w:tcPr>
          <w:p w:rsidR="000C1331" w:rsidRDefault="00D83680">
            <w:pPr>
              <w:pStyle w:val="TableParagraph"/>
              <w:ind w:left="650"/>
              <w:rPr>
                <w:sz w:val="20"/>
              </w:rPr>
            </w:pPr>
            <w:r>
              <w:rPr>
                <w:sz w:val="20"/>
              </w:rPr>
              <w:t>40</w:t>
            </w:r>
          </w:p>
        </w:tc>
      </w:tr>
      <w:tr w:rsidR="000C1331">
        <w:trPr>
          <w:trHeight w:val="389"/>
        </w:trPr>
        <w:tc>
          <w:tcPr>
            <w:tcW w:w="3921" w:type="dxa"/>
            <w:tcBorders>
              <w:top w:val="double" w:sz="2" w:space="0" w:color="000000"/>
              <w:bottom w:val="double" w:sz="2" w:space="0" w:color="000000"/>
              <w:right w:val="double" w:sz="2" w:space="0" w:color="000000"/>
            </w:tcBorders>
          </w:tcPr>
          <w:p w:rsidR="000C1331" w:rsidRDefault="00D83680">
            <w:pPr>
              <w:pStyle w:val="TableParagraph"/>
              <w:spacing w:before="14"/>
              <w:ind w:left="71"/>
              <w:rPr>
                <w:sz w:val="20"/>
              </w:rPr>
            </w:pPr>
            <w:r>
              <w:rPr>
                <w:sz w:val="20"/>
              </w:rPr>
              <w:t>Ozônio (µ g/m3) - 1 h.</w:t>
            </w:r>
          </w:p>
        </w:tc>
        <w:tc>
          <w:tcPr>
            <w:tcW w:w="1683"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spacing w:before="14"/>
              <w:ind w:left="446" w:right="433"/>
              <w:jc w:val="center"/>
              <w:rPr>
                <w:sz w:val="20"/>
              </w:rPr>
            </w:pPr>
            <w:r>
              <w:rPr>
                <w:sz w:val="20"/>
              </w:rPr>
              <w:t>400</w:t>
            </w:r>
          </w:p>
        </w:tc>
        <w:tc>
          <w:tcPr>
            <w:tcW w:w="1673" w:type="dxa"/>
            <w:tcBorders>
              <w:top w:val="double" w:sz="2" w:space="0" w:color="000000"/>
              <w:left w:val="double" w:sz="2" w:space="0" w:color="000000"/>
              <w:bottom w:val="double" w:sz="2" w:space="0" w:color="000000"/>
              <w:right w:val="double" w:sz="2" w:space="0" w:color="000000"/>
            </w:tcBorders>
          </w:tcPr>
          <w:p w:rsidR="000C1331" w:rsidRDefault="00D83680">
            <w:pPr>
              <w:pStyle w:val="TableParagraph"/>
              <w:spacing w:before="14"/>
              <w:ind w:left="482" w:right="519"/>
              <w:jc w:val="center"/>
              <w:rPr>
                <w:sz w:val="20"/>
              </w:rPr>
            </w:pPr>
            <w:r>
              <w:rPr>
                <w:sz w:val="20"/>
              </w:rPr>
              <w:t>800</w:t>
            </w:r>
          </w:p>
        </w:tc>
        <w:tc>
          <w:tcPr>
            <w:tcW w:w="1286" w:type="dxa"/>
            <w:tcBorders>
              <w:top w:val="double" w:sz="2" w:space="0" w:color="000000"/>
              <w:left w:val="double" w:sz="2" w:space="0" w:color="000000"/>
              <w:bottom w:val="double" w:sz="2" w:space="0" w:color="000000"/>
            </w:tcBorders>
          </w:tcPr>
          <w:p w:rsidR="000C1331" w:rsidRDefault="00D83680">
            <w:pPr>
              <w:pStyle w:val="TableParagraph"/>
              <w:spacing w:before="14"/>
              <w:ind w:left="523"/>
              <w:rPr>
                <w:sz w:val="20"/>
              </w:rPr>
            </w:pPr>
            <w:r>
              <w:rPr>
                <w:sz w:val="20"/>
              </w:rPr>
              <w:t>1.000</w:t>
            </w:r>
          </w:p>
        </w:tc>
      </w:tr>
      <w:tr w:rsidR="000C1331">
        <w:trPr>
          <w:trHeight w:val="380"/>
        </w:trPr>
        <w:tc>
          <w:tcPr>
            <w:tcW w:w="3921" w:type="dxa"/>
            <w:tcBorders>
              <w:top w:val="double" w:sz="2" w:space="0" w:color="000000"/>
              <w:right w:val="double" w:sz="2" w:space="0" w:color="000000"/>
            </w:tcBorders>
          </w:tcPr>
          <w:p w:rsidR="000C1331" w:rsidRDefault="00D83680">
            <w:pPr>
              <w:pStyle w:val="TableParagraph"/>
              <w:ind w:left="71"/>
              <w:rPr>
                <w:sz w:val="20"/>
              </w:rPr>
            </w:pPr>
            <w:r>
              <w:rPr>
                <w:sz w:val="20"/>
              </w:rPr>
              <w:t>Dióxido de nitrogênio (µ g/m3) - 1 h.</w:t>
            </w:r>
          </w:p>
        </w:tc>
        <w:tc>
          <w:tcPr>
            <w:tcW w:w="1683" w:type="dxa"/>
            <w:tcBorders>
              <w:top w:val="double" w:sz="2" w:space="0" w:color="000000"/>
              <w:left w:val="double" w:sz="2" w:space="0" w:color="000000"/>
              <w:right w:val="double" w:sz="2" w:space="0" w:color="000000"/>
            </w:tcBorders>
          </w:tcPr>
          <w:p w:rsidR="000C1331" w:rsidRDefault="00D83680">
            <w:pPr>
              <w:pStyle w:val="TableParagraph"/>
              <w:ind w:left="442" w:right="433"/>
              <w:jc w:val="center"/>
              <w:rPr>
                <w:sz w:val="20"/>
              </w:rPr>
            </w:pPr>
            <w:r>
              <w:rPr>
                <w:sz w:val="20"/>
              </w:rPr>
              <w:t>1.130</w:t>
            </w:r>
          </w:p>
        </w:tc>
        <w:tc>
          <w:tcPr>
            <w:tcW w:w="1673" w:type="dxa"/>
            <w:tcBorders>
              <w:top w:val="double" w:sz="2" w:space="0" w:color="000000"/>
              <w:left w:val="double" w:sz="2" w:space="0" w:color="000000"/>
              <w:right w:val="double" w:sz="2" w:space="0" w:color="000000"/>
            </w:tcBorders>
          </w:tcPr>
          <w:p w:rsidR="000C1331" w:rsidRDefault="00D83680">
            <w:pPr>
              <w:pStyle w:val="TableParagraph"/>
              <w:ind w:left="478" w:right="519"/>
              <w:jc w:val="center"/>
              <w:rPr>
                <w:sz w:val="20"/>
              </w:rPr>
            </w:pPr>
            <w:r>
              <w:rPr>
                <w:sz w:val="20"/>
              </w:rPr>
              <w:t>2.260</w:t>
            </w:r>
          </w:p>
        </w:tc>
        <w:tc>
          <w:tcPr>
            <w:tcW w:w="1286" w:type="dxa"/>
            <w:tcBorders>
              <w:top w:val="double" w:sz="2" w:space="0" w:color="000000"/>
              <w:left w:val="double" w:sz="2" w:space="0" w:color="000000"/>
            </w:tcBorders>
          </w:tcPr>
          <w:p w:rsidR="000C1331" w:rsidRDefault="00D83680">
            <w:pPr>
              <w:pStyle w:val="TableParagraph"/>
              <w:ind w:left="523"/>
              <w:rPr>
                <w:sz w:val="20"/>
              </w:rPr>
            </w:pPr>
            <w:r>
              <w:rPr>
                <w:sz w:val="20"/>
              </w:rPr>
              <w:t>3.000</w:t>
            </w:r>
          </w:p>
        </w:tc>
      </w:tr>
    </w:tbl>
    <w:p w:rsidR="000C1331" w:rsidRDefault="000C1331">
      <w:pPr>
        <w:pStyle w:val="Corpodetexto"/>
        <w:spacing w:before="5"/>
        <w:ind w:left="0"/>
        <w:rPr>
          <w:b/>
          <w:sz w:val="10"/>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921"/>
        <w:gridCol w:w="1683"/>
        <w:gridCol w:w="1673"/>
        <w:gridCol w:w="1286"/>
      </w:tblGrid>
      <w:tr w:rsidR="000C1331">
        <w:trPr>
          <w:trHeight w:val="371"/>
        </w:trPr>
        <w:tc>
          <w:tcPr>
            <w:tcW w:w="3921" w:type="dxa"/>
            <w:tcBorders>
              <w:right w:val="double" w:sz="2" w:space="0" w:color="000000"/>
            </w:tcBorders>
          </w:tcPr>
          <w:p w:rsidR="000C1331" w:rsidRDefault="00D83680">
            <w:pPr>
              <w:pStyle w:val="TableParagraph"/>
              <w:spacing w:before="7"/>
              <w:ind w:left="71"/>
              <w:rPr>
                <w:sz w:val="20"/>
              </w:rPr>
            </w:pPr>
            <w:r>
              <w:rPr>
                <w:sz w:val="20"/>
              </w:rPr>
              <w:t>SO2X PTS (µ g/m3)x(µ g/m3) - 24 h.</w:t>
            </w:r>
          </w:p>
        </w:tc>
        <w:tc>
          <w:tcPr>
            <w:tcW w:w="1683" w:type="dxa"/>
            <w:tcBorders>
              <w:left w:val="double" w:sz="2" w:space="0" w:color="000000"/>
              <w:right w:val="double" w:sz="2" w:space="0" w:color="000000"/>
            </w:tcBorders>
          </w:tcPr>
          <w:p w:rsidR="000C1331" w:rsidRDefault="00D83680">
            <w:pPr>
              <w:pStyle w:val="TableParagraph"/>
              <w:spacing w:before="7"/>
              <w:ind w:left="549"/>
              <w:rPr>
                <w:sz w:val="20"/>
              </w:rPr>
            </w:pPr>
            <w:r>
              <w:rPr>
                <w:sz w:val="20"/>
              </w:rPr>
              <w:t>65.000</w:t>
            </w:r>
          </w:p>
        </w:tc>
        <w:tc>
          <w:tcPr>
            <w:tcW w:w="1673" w:type="dxa"/>
            <w:tcBorders>
              <w:left w:val="double" w:sz="2" w:space="0" w:color="000000"/>
              <w:right w:val="double" w:sz="2" w:space="0" w:color="000000"/>
            </w:tcBorders>
          </w:tcPr>
          <w:p w:rsidR="000C1331" w:rsidRDefault="00D83680">
            <w:pPr>
              <w:pStyle w:val="TableParagraph"/>
              <w:spacing w:before="7"/>
              <w:ind w:left="468"/>
              <w:rPr>
                <w:sz w:val="20"/>
              </w:rPr>
            </w:pPr>
            <w:r>
              <w:rPr>
                <w:sz w:val="20"/>
              </w:rPr>
              <w:t>261.000</w:t>
            </w:r>
          </w:p>
        </w:tc>
        <w:tc>
          <w:tcPr>
            <w:tcW w:w="1286" w:type="dxa"/>
            <w:tcBorders>
              <w:left w:val="double" w:sz="2" w:space="0" w:color="000000"/>
            </w:tcBorders>
          </w:tcPr>
          <w:p w:rsidR="000C1331" w:rsidRDefault="00D83680">
            <w:pPr>
              <w:pStyle w:val="TableParagraph"/>
              <w:spacing w:before="7"/>
              <w:ind w:left="425"/>
              <w:rPr>
                <w:sz w:val="20"/>
              </w:rPr>
            </w:pPr>
            <w:r>
              <w:rPr>
                <w:sz w:val="20"/>
              </w:rPr>
              <w:t>393.000</w:t>
            </w:r>
          </w:p>
        </w:tc>
      </w:tr>
    </w:tbl>
    <w:p w:rsidR="000C1331" w:rsidRDefault="00D83680">
      <w:pPr>
        <w:spacing w:before="27"/>
        <w:ind w:left="142"/>
        <w:rPr>
          <w:sz w:val="20"/>
        </w:rPr>
      </w:pPr>
      <w:r>
        <w:rPr>
          <w:sz w:val="20"/>
        </w:rPr>
        <w:t>Fonte: Ambiente Brasil, 2011.</w:t>
      </w:r>
    </w:p>
    <w:p w:rsidR="000C1331" w:rsidRDefault="000C1331">
      <w:pPr>
        <w:pStyle w:val="Corpodetexto"/>
        <w:spacing w:before="4"/>
        <w:ind w:left="0"/>
        <w:rPr>
          <w:sz w:val="19"/>
        </w:rPr>
      </w:pPr>
    </w:p>
    <w:p w:rsidR="000C1331" w:rsidRDefault="00D83680">
      <w:pPr>
        <w:pStyle w:val="Corpodetexto"/>
        <w:spacing w:line="360" w:lineRule="auto"/>
        <w:ind w:right="231" w:firstLine="851"/>
        <w:jc w:val="both"/>
      </w:pPr>
      <w:r>
        <w:t xml:space="preserve">No entanto, apesar dos avanços alcançados com as duas resoluções acima estudadas, na prática não ocorreu à </w:t>
      </w:r>
      <w:proofErr w:type="gramStart"/>
      <w:r>
        <w:t>implementação</w:t>
      </w:r>
      <w:proofErr w:type="gramEnd"/>
      <w:r>
        <w:t xml:space="preserve"> efetiva dos instrumentos de controle de qualidade do ar a nível estadual, a esse respeito um estudo realizado pelo Instituto Brasileiro</w:t>
      </w:r>
      <w:r>
        <w:t xml:space="preserve"> do Meio Ambiente e dos Recursos Naturais Renováveis, afirma que:</w:t>
      </w:r>
    </w:p>
    <w:p w:rsidR="000C1331" w:rsidRDefault="000C1331">
      <w:pPr>
        <w:pStyle w:val="Corpodetexto"/>
        <w:spacing w:before="10"/>
        <w:ind w:left="0"/>
        <w:rPr>
          <w:sz w:val="35"/>
        </w:rPr>
      </w:pPr>
    </w:p>
    <w:p w:rsidR="000C1331" w:rsidRDefault="00D83680">
      <w:pPr>
        <w:ind w:left="2410" w:right="233"/>
        <w:jc w:val="both"/>
        <w:rPr>
          <w:sz w:val="20"/>
        </w:rPr>
      </w:pPr>
      <w:r>
        <w:rPr>
          <w:sz w:val="20"/>
        </w:rPr>
        <w:t xml:space="preserve">Os Programas Estaduais de Controle de Poluição do Ar não foram desenvolvidos e </w:t>
      </w:r>
      <w:proofErr w:type="gramStart"/>
      <w:r>
        <w:rPr>
          <w:sz w:val="20"/>
        </w:rPr>
        <w:t>implementados</w:t>
      </w:r>
      <w:proofErr w:type="gramEnd"/>
      <w:r>
        <w:rPr>
          <w:sz w:val="20"/>
        </w:rPr>
        <w:t xml:space="preserve"> conforme esperado. Houve a capacitação laboratorial de 17 Estados brasileiros: Pará, Amazonas, Maranhão, Rio Grande do Norte, Paraíba, Pernambuco, Ceará, Alagoas, </w:t>
      </w:r>
      <w:r>
        <w:rPr>
          <w:sz w:val="20"/>
        </w:rPr>
        <w:t>Sergipe, Bahia, Minas Gerais, Espírito Santo, Goiás, Distrito Federal, Santa Catarina, Mato Grosso e Mato Grosso do Sul. Estes estados, embora tenham assinado termo de cessão de uso dos</w:t>
      </w:r>
      <w:proofErr w:type="gramStart"/>
      <w:r>
        <w:rPr>
          <w:sz w:val="20"/>
        </w:rPr>
        <w:t xml:space="preserve">  </w:t>
      </w:r>
      <w:proofErr w:type="gramEnd"/>
      <w:r>
        <w:rPr>
          <w:sz w:val="20"/>
        </w:rPr>
        <w:t>equipamentos e terem se comprometido a enviar os relatórios de qualid</w:t>
      </w:r>
      <w:r>
        <w:rPr>
          <w:sz w:val="20"/>
        </w:rPr>
        <w:t xml:space="preserve">ade do ar, não o fizeram. Entre os motivos alegados, </w:t>
      </w:r>
      <w:proofErr w:type="gramStart"/>
      <w:r>
        <w:rPr>
          <w:sz w:val="20"/>
        </w:rPr>
        <w:t>estão</w:t>
      </w:r>
      <w:proofErr w:type="gramEnd"/>
      <w:r>
        <w:rPr>
          <w:sz w:val="20"/>
        </w:rPr>
        <w:t xml:space="preserve"> a falta de capacitação técnica necessária para o uso dos equipamentos, apesar dos treinamentos realizados no âmbito do Programa Nacional de Controle de Poluição Industrial — PRONACOP — direcionados</w:t>
      </w:r>
      <w:r>
        <w:rPr>
          <w:sz w:val="20"/>
        </w:rPr>
        <w:t xml:space="preserve"> para o uso dos equipamentos recebidos do PRONAR. Este fato, aliado a outros de natureza gerencial do programa, inviabilizou que fossem atingidas as metas de médio prazo, como a </w:t>
      </w:r>
      <w:proofErr w:type="gramStart"/>
      <w:r>
        <w:rPr>
          <w:sz w:val="20"/>
        </w:rPr>
        <w:t>implementação</w:t>
      </w:r>
      <w:proofErr w:type="gramEnd"/>
      <w:r>
        <w:rPr>
          <w:sz w:val="20"/>
        </w:rPr>
        <w:t xml:space="preserve"> da rede nacional de monitoramento da qualidade do ar e a produçã</w:t>
      </w:r>
      <w:r>
        <w:rPr>
          <w:sz w:val="20"/>
        </w:rPr>
        <w:t>o do inventário nacional de fontes e emissões. Infelizmente, as metas estabelecidas na resolução CONAMA nº 05, de 15 de junho de 1989, na sua grande maioria, não foram atingidas. Atualmente, o IBAMA, planeja retomar o referido Programa (INSTITUTO BRASILEIR</w:t>
      </w:r>
      <w:r>
        <w:rPr>
          <w:sz w:val="20"/>
        </w:rPr>
        <w:t>O DO MEIO AMBIENTE E DOS RECURSOS NATURAIS RENOVÁVEIS, 2011).</w:t>
      </w:r>
    </w:p>
    <w:p w:rsidR="000C1331" w:rsidRDefault="000C1331">
      <w:pPr>
        <w:pStyle w:val="Corpodetexto"/>
        <w:ind w:left="0"/>
        <w:rPr>
          <w:sz w:val="22"/>
        </w:rPr>
      </w:pPr>
    </w:p>
    <w:p w:rsidR="000C1331" w:rsidRDefault="00D83680">
      <w:pPr>
        <w:pStyle w:val="Corpodetexto"/>
        <w:spacing w:line="360" w:lineRule="auto"/>
        <w:ind w:right="235" w:firstLine="851"/>
        <w:jc w:val="both"/>
      </w:pPr>
      <w:r>
        <w:t xml:space="preserve">Assim, pode-se concluir que a má qualidade do ar nos grandes centros urbanos do país é fruto não apenas do aumento da frota de veículos automotores em circulação ou das atividades </w:t>
      </w:r>
      <w:proofErr w:type="spellStart"/>
      <w:r>
        <w:t>antrópicas</w:t>
      </w:r>
      <w:proofErr w:type="spellEnd"/>
      <w:r>
        <w:t xml:space="preserve"> d</w:t>
      </w:r>
      <w:r>
        <w:t xml:space="preserve">esenvolvidas no seio da sociedade, mas, também, derivado da má gestão dos entes da administração pública competentes para o monitoramento da qualidade do ar bem como da </w:t>
      </w:r>
      <w:proofErr w:type="gramStart"/>
      <w:r>
        <w:t>implementação</w:t>
      </w:r>
      <w:proofErr w:type="gramEnd"/>
      <w:r>
        <w:t xml:space="preserve"> dos instrumentos de controle de emissão de poluentes atmosféricos.</w:t>
      </w:r>
    </w:p>
    <w:p w:rsidR="000C1331" w:rsidRDefault="00D83680">
      <w:pPr>
        <w:pStyle w:val="Heading1"/>
        <w:numPr>
          <w:ilvl w:val="0"/>
          <w:numId w:val="1"/>
        </w:numPr>
        <w:tabs>
          <w:tab w:val="left" w:pos="426"/>
        </w:tabs>
        <w:ind w:hanging="283"/>
      </w:pPr>
      <w:r>
        <w:t>CONC</w:t>
      </w:r>
      <w:r>
        <w:t>LUSÃO</w:t>
      </w:r>
    </w:p>
    <w:p w:rsidR="000C1331" w:rsidRDefault="000C1331">
      <w:pPr>
        <w:pStyle w:val="Corpodetexto"/>
        <w:spacing w:before="8"/>
        <w:ind w:left="0"/>
        <w:rPr>
          <w:b/>
          <w:sz w:val="26"/>
        </w:rPr>
      </w:pPr>
    </w:p>
    <w:p w:rsidR="000C1331" w:rsidRDefault="00D83680">
      <w:pPr>
        <w:pStyle w:val="Corpodetexto"/>
        <w:spacing w:line="360" w:lineRule="auto"/>
        <w:ind w:right="233" w:firstLine="851"/>
        <w:jc w:val="both"/>
      </w:pPr>
      <w:r>
        <w:t>Desta maneira, pode-se concluir que mesmo o direito a saúde ser devidamente reconhecido como um Direito Fundamental inalienável do cidadão é diariamente violado nos grandes centros urbanos pelo excesso de emissão de poluentes na atmosfera em decorrê</w:t>
      </w:r>
      <w:r>
        <w:t xml:space="preserve">ncia da alta rotatividade de veículos </w:t>
      </w:r>
      <w:proofErr w:type="spellStart"/>
      <w:r>
        <w:t>automores</w:t>
      </w:r>
      <w:proofErr w:type="spellEnd"/>
      <w:r>
        <w:t xml:space="preserve"> e outras atividades </w:t>
      </w:r>
      <w:proofErr w:type="spellStart"/>
      <w:r>
        <w:t>antrópicas</w:t>
      </w:r>
      <w:proofErr w:type="spellEnd"/>
      <w:r>
        <w:t>, que</w:t>
      </w:r>
    </w:p>
    <w:p w:rsidR="000C1331" w:rsidRDefault="000C1331">
      <w:pPr>
        <w:spacing w:line="360" w:lineRule="auto"/>
        <w:jc w:val="both"/>
        <w:sectPr w:rsidR="000C1331">
          <w:pgSz w:w="11910" w:h="16840"/>
          <w:pgMar w:top="1580" w:right="1180" w:bottom="280" w:left="1560" w:header="720" w:footer="720" w:gutter="0"/>
          <w:cols w:space="720"/>
        </w:sectPr>
      </w:pPr>
    </w:p>
    <w:p w:rsidR="000C1331" w:rsidRDefault="00D83680">
      <w:pPr>
        <w:pStyle w:val="Corpodetexto"/>
        <w:spacing w:before="98" w:line="360" w:lineRule="auto"/>
        <w:ind w:right="236"/>
        <w:jc w:val="both"/>
      </w:pPr>
      <w:proofErr w:type="gramStart"/>
      <w:r>
        <w:lastRenderedPageBreak/>
        <w:t>por</w:t>
      </w:r>
      <w:proofErr w:type="gramEnd"/>
      <w:r>
        <w:t xml:space="preserve"> sua vez, desencadeiam graves doenças crônicas do sistema respiratório, gerando por reflexo, grandes gastos aos cofres públicos com mortes e tratamentos ho</w:t>
      </w:r>
      <w:r>
        <w:t>spitalares.</w:t>
      </w:r>
    </w:p>
    <w:p w:rsidR="000C1331" w:rsidRDefault="00D83680">
      <w:pPr>
        <w:pStyle w:val="Corpodetexto"/>
        <w:spacing w:line="360" w:lineRule="auto"/>
        <w:ind w:right="234" w:firstLine="851"/>
        <w:jc w:val="both"/>
      </w:pPr>
      <w:r>
        <w:t>Logo, mesmo as resoluções CONAMA 005/1989 e 003/1990, estabelecendo instrumentos básicos de gestão ambiental para limitação dos níveis de emissão de poluentes por fontes de poluição atmosférica com vistas a uma melhoria na qualidade do ar, o Po</w:t>
      </w:r>
      <w:r>
        <w:t xml:space="preserve">der Público manteve-se omisso no seu dever de </w:t>
      </w:r>
      <w:proofErr w:type="gramStart"/>
      <w:r>
        <w:t>implementação</w:t>
      </w:r>
      <w:proofErr w:type="gramEnd"/>
      <w:r>
        <w:t xml:space="preserve"> da rede nacional de monitoramento da qualidade do ar e a produção do inventário nacional de fontes e emissões, inviabilizando o </w:t>
      </w:r>
      <w:proofErr w:type="spellStart"/>
      <w:r>
        <w:t>atingimento</w:t>
      </w:r>
      <w:proofErr w:type="spellEnd"/>
      <w:r>
        <w:t xml:space="preserve"> das metas de médio e longo prazo estabelecido por estas</w:t>
      </w:r>
      <w:r>
        <w:rPr>
          <w:spacing w:val="-1"/>
        </w:rPr>
        <w:t xml:space="preserve"> </w:t>
      </w:r>
      <w:r>
        <w:t>resoluções.</w:t>
      </w:r>
    </w:p>
    <w:p w:rsidR="000C1331" w:rsidRDefault="00D83680">
      <w:pPr>
        <w:pStyle w:val="Corpodetexto"/>
        <w:spacing w:line="360" w:lineRule="auto"/>
        <w:ind w:right="232" w:firstLine="851"/>
        <w:jc w:val="both"/>
      </w:pPr>
      <w:r>
        <w:t xml:space="preserve">Por fim, ressalta-se que a omissão do Estado em </w:t>
      </w:r>
      <w:proofErr w:type="gramStart"/>
      <w:r>
        <w:t>implementar</w:t>
      </w:r>
      <w:proofErr w:type="gramEnd"/>
      <w:r>
        <w:t xml:space="preserve"> os mecanismos de proteção da qualidade do ar não afronta apenas o direito fundamental a saúde, mas também</w:t>
      </w:r>
    </w:p>
    <w:p w:rsidR="000C1331" w:rsidRDefault="00D83680">
      <w:pPr>
        <w:pStyle w:val="Corpodetexto"/>
        <w:spacing w:line="360" w:lineRule="auto"/>
        <w:ind w:right="235"/>
        <w:jc w:val="both"/>
      </w:pPr>
      <w:proofErr w:type="gramStart"/>
      <w:r>
        <w:t>o</w:t>
      </w:r>
      <w:proofErr w:type="gramEnd"/>
      <w:r>
        <w:t xml:space="preserve"> direito social fundamental ao meio ambiente ecologicamente equilibrado, bem de uso comum do povo e essencial à sadia qualidade de vida, impondo ao poder público e a coletividade o dever de defendê-lo e preservá-lo para as presentes e futuras gerações, co</w:t>
      </w:r>
      <w:r>
        <w:t>mo assim dispõe o art. 225, CRFB/1988.</w:t>
      </w:r>
    </w:p>
    <w:p w:rsidR="000C1331" w:rsidRDefault="000C1331">
      <w:pPr>
        <w:pStyle w:val="Corpodetexto"/>
        <w:spacing w:before="6"/>
        <w:ind w:left="0"/>
        <w:rPr>
          <w:sz w:val="36"/>
        </w:rPr>
      </w:pPr>
    </w:p>
    <w:p w:rsidR="000C1331" w:rsidRDefault="00D83680">
      <w:pPr>
        <w:pStyle w:val="Heading1"/>
        <w:jc w:val="both"/>
      </w:pPr>
      <w:r>
        <w:t>REFERÊNCIAS</w:t>
      </w:r>
    </w:p>
    <w:p w:rsidR="000C1331" w:rsidRDefault="000C1331">
      <w:pPr>
        <w:pStyle w:val="Corpodetexto"/>
        <w:spacing w:before="6"/>
        <w:ind w:left="0"/>
        <w:rPr>
          <w:b/>
          <w:sz w:val="26"/>
        </w:rPr>
      </w:pPr>
    </w:p>
    <w:p w:rsidR="000C1331" w:rsidRDefault="00D83680">
      <w:pPr>
        <w:spacing w:line="360" w:lineRule="auto"/>
        <w:ind w:left="142" w:right="232"/>
        <w:jc w:val="both"/>
        <w:rPr>
          <w:sz w:val="24"/>
        </w:rPr>
      </w:pPr>
      <w:r>
        <w:rPr>
          <w:sz w:val="24"/>
        </w:rPr>
        <w:t xml:space="preserve">BRASIL. Constituição (1988). </w:t>
      </w:r>
      <w:r>
        <w:rPr>
          <w:b/>
          <w:sz w:val="24"/>
        </w:rPr>
        <w:t>Constituição da República Federativa do Brasil</w:t>
      </w:r>
      <w:r>
        <w:rPr>
          <w:sz w:val="24"/>
        </w:rPr>
        <w:t>. Brasília: Senado,</w:t>
      </w:r>
      <w:r>
        <w:rPr>
          <w:spacing w:val="-1"/>
          <w:sz w:val="24"/>
        </w:rPr>
        <w:t xml:space="preserve"> </w:t>
      </w:r>
      <w:r>
        <w:rPr>
          <w:sz w:val="24"/>
        </w:rPr>
        <w:t>1988.</w:t>
      </w:r>
    </w:p>
    <w:p w:rsidR="000C1331" w:rsidRDefault="00D83680">
      <w:pPr>
        <w:spacing w:before="199" w:line="360" w:lineRule="auto"/>
        <w:ind w:left="142" w:right="238"/>
        <w:jc w:val="both"/>
        <w:rPr>
          <w:sz w:val="24"/>
        </w:rPr>
      </w:pPr>
      <w:r>
        <w:rPr>
          <w:sz w:val="24"/>
        </w:rPr>
        <w:t xml:space="preserve">DOMINGUES, José Marques, </w:t>
      </w:r>
      <w:proofErr w:type="gramStart"/>
      <w:r>
        <w:rPr>
          <w:sz w:val="24"/>
        </w:rPr>
        <w:t>et</w:t>
      </w:r>
      <w:proofErr w:type="gramEnd"/>
      <w:r>
        <w:rPr>
          <w:sz w:val="24"/>
        </w:rPr>
        <w:t xml:space="preserve"> al. </w:t>
      </w:r>
      <w:r>
        <w:rPr>
          <w:b/>
          <w:sz w:val="24"/>
        </w:rPr>
        <w:t xml:space="preserve">Eficiência Energética, Tributação e Políticas Públicas no Brasil: </w:t>
      </w:r>
      <w:r>
        <w:rPr>
          <w:sz w:val="24"/>
        </w:rPr>
        <w:t xml:space="preserve">caso do veículo elétrico. Políticas de </w:t>
      </w:r>
      <w:proofErr w:type="spellStart"/>
      <w:r>
        <w:rPr>
          <w:sz w:val="24"/>
        </w:rPr>
        <w:t>protección</w:t>
      </w:r>
      <w:proofErr w:type="spellEnd"/>
      <w:r>
        <w:rPr>
          <w:sz w:val="24"/>
        </w:rPr>
        <w:t xml:space="preserve"> ambiental </w:t>
      </w:r>
      <w:proofErr w:type="spellStart"/>
      <w:r>
        <w:rPr>
          <w:sz w:val="24"/>
        </w:rPr>
        <w:t>en</w:t>
      </w:r>
      <w:proofErr w:type="spellEnd"/>
      <w:r>
        <w:rPr>
          <w:sz w:val="24"/>
        </w:rPr>
        <w:t xml:space="preserve"> </w:t>
      </w:r>
      <w:proofErr w:type="spellStart"/>
      <w:proofErr w:type="gramStart"/>
      <w:r>
        <w:rPr>
          <w:sz w:val="24"/>
        </w:rPr>
        <w:t>el</w:t>
      </w:r>
      <w:proofErr w:type="spellEnd"/>
      <w:proofErr w:type="gramEnd"/>
      <w:r>
        <w:rPr>
          <w:sz w:val="24"/>
        </w:rPr>
        <w:t xml:space="preserve"> </w:t>
      </w:r>
      <w:proofErr w:type="spellStart"/>
      <w:r>
        <w:rPr>
          <w:sz w:val="24"/>
        </w:rPr>
        <w:t>siglo</w:t>
      </w:r>
      <w:proofErr w:type="spellEnd"/>
      <w:r>
        <w:rPr>
          <w:sz w:val="24"/>
        </w:rPr>
        <w:t xml:space="preserve"> </w:t>
      </w:r>
      <w:proofErr w:type="spellStart"/>
      <w:r>
        <w:rPr>
          <w:sz w:val="24"/>
        </w:rPr>
        <w:t>XXI|bmedidas</w:t>
      </w:r>
      <w:proofErr w:type="spellEnd"/>
      <w:r>
        <w:rPr>
          <w:sz w:val="24"/>
        </w:rPr>
        <w:t xml:space="preserve"> tributarias, </w:t>
      </w:r>
      <w:proofErr w:type="spellStart"/>
      <w:r>
        <w:rPr>
          <w:sz w:val="24"/>
        </w:rPr>
        <w:t>contaminación</w:t>
      </w:r>
      <w:proofErr w:type="spellEnd"/>
      <w:r>
        <w:rPr>
          <w:sz w:val="24"/>
        </w:rPr>
        <w:t xml:space="preserve"> ambiental y empresa. Barcelona, ed. </w:t>
      </w:r>
      <w:proofErr w:type="spellStart"/>
      <w:proofErr w:type="gramStart"/>
      <w:r>
        <w:rPr>
          <w:sz w:val="24"/>
        </w:rPr>
        <w:t>bJ</w:t>
      </w:r>
      <w:proofErr w:type="spellEnd"/>
      <w:proofErr w:type="gramEnd"/>
      <w:r>
        <w:rPr>
          <w:sz w:val="24"/>
        </w:rPr>
        <w:t>.M. Bosch Editor, 2013, p. 111-137.</w:t>
      </w:r>
    </w:p>
    <w:p w:rsidR="000C1331" w:rsidRDefault="00D83680">
      <w:pPr>
        <w:spacing w:before="200" w:line="360" w:lineRule="auto"/>
        <w:ind w:left="142" w:right="233"/>
        <w:jc w:val="both"/>
        <w:rPr>
          <w:sz w:val="24"/>
        </w:rPr>
      </w:pPr>
      <w:r>
        <w:rPr>
          <w:sz w:val="24"/>
        </w:rPr>
        <w:t xml:space="preserve">GRINOVER, Ada </w:t>
      </w:r>
      <w:proofErr w:type="spellStart"/>
      <w:r>
        <w:rPr>
          <w:sz w:val="24"/>
        </w:rPr>
        <w:t>Pellegini</w:t>
      </w:r>
      <w:proofErr w:type="spellEnd"/>
      <w:r>
        <w:rPr>
          <w:sz w:val="24"/>
        </w:rPr>
        <w:t xml:space="preserve">. </w:t>
      </w:r>
      <w:r>
        <w:rPr>
          <w:b/>
          <w:sz w:val="24"/>
        </w:rPr>
        <w:t xml:space="preserve">Discricionariedade administrativa em matéria </w:t>
      </w:r>
      <w:r>
        <w:rPr>
          <w:b/>
          <w:sz w:val="24"/>
        </w:rPr>
        <w:t>de políticas públicas</w:t>
      </w:r>
      <w:r>
        <w:rPr>
          <w:sz w:val="24"/>
        </w:rPr>
        <w:t xml:space="preserve">. In: GRINOVER, Ada </w:t>
      </w:r>
      <w:proofErr w:type="spellStart"/>
      <w:r>
        <w:rPr>
          <w:sz w:val="24"/>
        </w:rPr>
        <w:t>Pellegini</w:t>
      </w:r>
      <w:proofErr w:type="spellEnd"/>
      <w:r>
        <w:rPr>
          <w:sz w:val="24"/>
        </w:rPr>
        <w:t xml:space="preserve"> e WATANABE, </w:t>
      </w:r>
      <w:proofErr w:type="spellStart"/>
      <w:r>
        <w:rPr>
          <w:sz w:val="24"/>
        </w:rPr>
        <w:t>Kazuo</w:t>
      </w:r>
      <w:proofErr w:type="spellEnd"/>
      <w:r>
        <w:rPr>
          <w:sz w:val="24"/>
        </w:rPr>
        <w:t xml:space="preserve"> (Org.) O Controle Judicial das Políticas Públicas. Rio de Janeiro: Forense, 2013.</w:t>
      </w:r>
    </w:p>
    <w:p w:rsidR="000C1331" w:rsidRDefault="00D83680">
      <w:pPr>
        <w:pStyle w:val="Corpodetexto"/>
        <w:spacing w:before="201"/>
        <w:jc w:val="both"/>
      </w:pPr>
      <w:r>
        <w:t>INSTITUTO</w:t>
      </w:r>
      <w:r>
        <w:rPr>
          <w:spacing w:val="43"/>
        </w:rPr>
        <w:t xml:space="preserve"> </w:t>
      </w:r>
      <w:r>
        <w:t>BRASILEIRO</w:t>
      </w:r>
      <w:r>
        <w:rPr>
          <w:spacing w:val="42"/>
        </w:rPr>
        <w:t xml:space="preserve"> </w:t>
      </w:r>
      <w:r>
        <w:t>DO</w:t>
      </w:r>
      <w:r>
        <w:rPr>
          <w:spacing w:val="41"/>
        </w:rPr>
        <w:t xml:space="preserve"> </w:t>
      </w:r>
      <w:r>
        <w:t>MEIO</w:t>
      </w:r>
      <w:r>
        <w:rPr>
          <w:spacing w:val="41"/>
        </w:rPr>
        <w:t xml:space="preserve"> </w:t>
      </w:r>
      <w:r>
        <w:t>AMBIENTE</w:t>
      </w:r>
      <w:r>
        <w:rPr>
          <w:spacing w:val="41"/>
        </w:rPr>
        <w:t xml:space="preserve"> </w:t>
      </w:r>
      <w:r>
        <w:t>E</w:t>
      </w:r>
      <w:r>
        <w:rPr>
          <w:spacing w:val="42"/>
        </w:rPr>
        <w:t xml:space="preserve"> </w:t>
      </w:r>
      <w:r>
        <w:t>DOS</w:t>
      </w:r>
      <w:r>
        <w:rPr>
          <w:spacing w:val="43"/>
        </w:rPr>
        <w:t xml:space="preserve"> </w:t>
      </w:r>
      <w:r>
        <w:t>RECURSOS</w:t>
      </w:r>
      <w:r>
        <w:rPr>
          <w:spacing w:val="42"/>
        </w:rPr>
        <w:t xml:space="preserve"> </w:t>
      </w:r>
      <w:r>
        <w:t>NATURAIS</w:t>
      </w:r>
    </w:p>
    <w:p w:rsidR="000C1331" w:rsidRDefault="00D83680">
      <w:pPr>
        <w:spacing w:before="139" w:line="360" w:lineRule="auto"/>
        <w:ind w:left="142" w:right="236"/>
        <w:jc w:val="both"/>
        <w:rPr>
          <w:sz w:val="24"/>
        </w:rPr>
      </w:pPr>
      <w:r>
        <w:rPr>
          <w:sz w:val="24"/>
        </w:rPr>
        <w:t xml:space="preserve">RENOVÁVEIS - IBAMA Diretoria de Controle e </w:t>
      </w:r>
      <w:r>
        <w:rPr>
          <w:sz w:val="24"/>
        </w:rPr>
        <w:t xml:space="preserve">Fiscalização DIRCOF Departamento de Qualidade Ambiental - DEAMB SAIN, </w:t>
      </w:r>
      <w:r>
        <w:rPr>
          <w:b/>
          <w:sz w:val="24"/>
        </w:rPr>
        <w:t>Programa Nacional de Controle de Qualidade do</w:t>
      </w:r>
      <w:proofErr w:type="gramStart"/>
      <w:r>
        <w:rPr>
          <w:b/>
          <w:sz w:val="24"/>
        </w:rPr>
        <w:t xml:space="preserve">    </w:t>
      </w:r>
      <w:proofErr w:type="gramEnd"/>
      <w:r>
        <w:rPr>
          <w:b/>
          <w:sz w:val="24"/>
        </w:rPr>
        <w:t>Ar</w:t>
      </w:r>
      <w:r>
        <w:rPr>
          <w:sz w:val="24"/>
        </w:rPr>
        <w:t>,   Brasília,   DF,   2011.   Disponível</w:t>
      </w:r>
      <w:proofErr w:type="gramStart"/>
      <w:r>
        <w:rPr>
          <w:sz w:val="24"/>
        </w:rPr>
        <w:t xml:space="preserve">   </w:t>
      </w:r>
      <w:proofErr w:type="gramEnd"/>
      <w:r>
        <w:rPr>
          <w:sz w:val="24"/>
        </w:rPr>
        <w:t xml:space="preserve">em:  </w:t>
      </w:r>
      <w:r>
        <w:rPr>
          <w:spacing w:val="42"/>
          <w:sz w:val="24"/>
        </w:rPr>
        <w:t xml:space="preserve"> </w:t>
      </w:r>
      <w:r>
        <w:rPr>
          <w:sz w:val="24"/>
        </w:rPr>
        <w:t>&lt;</w:t>
      </w:r>
      <w:hyperlink r:id="rId5">
        <w:r>
          <w:rPr>
            <w:sz w:val="24"/>
          </w:rPr>
          <w:t>http://ambientes.ambientebrasil</w:t>
        </w:r>
        <w:r>
          <w:rPr>
            <w:sz w:val="24"/>
          </w:rPr>
          <w:t>.com.</w:t>
        </w:r>
      </w:hyperlink>
    </w:p>
    <w:p w:rsidR="000C1331" w:rsidRDefault="000C1331">
      <w:pPr>
        <w:spacing w:line="360" w:lineRule="auto"/>
        <w:jc w:val="both"/>
        <w:rPr>
          <w:sz w:val="24"/>
        </w:rPr>
        <w:sectPr w:rsidR="000C1331">
          <w:pgSz w:w="11910" w:h="16840"/>
          <w:pgMar w:top="1580" w:right="1180" w:bottom="280" w:left="1560" w:header="720" w:footer="720" w:gutter="0"/>
          <w:cols w:space="720"/>
        </w:sectPr>
      </w:pPr>
    </w:p>
    <w:p w:rsidR="000C1331" w:rsidRDefault="00D83680">
      <w:pPr>
        <w:pStyle w:val="Corpodetexto"/>
        <w:spacing w:before="98" w:line="360" w:lineRule="auto"/>
        <w:ind w:right="335"/>
        <w:jc w:val="both"/>
      </w:pPr>
      <w:proofErr w:type="gramStart"/>
      <w:r>
        <w:lastRenderedPageBreak/>
        <w:t>br</w:t>
      </w:r>
      <w:proofErr w:type="gramEnd"/>
      <w:r>
        <w:t>/urbano/programas_e_projetos/pronar_programa_nacional_de_controle_de_qualidade_d o_ar.html&gt;. Acesso em: 14 nov. 2016.</w:t>
      </w:r>
    </w:p>
    <w:p w:rsidR="000C1331" w:rsidRDefault="00D83680">
      <w:pPr>
        <w:spacing w:before="199" w:line="360" w:lineRule="auto"/>
        <w:ind w:left="142" w:right="236"/>
        <w:jc w:val="both"/>
        <w:rPr>
          <w:sz w:val="24"/>
        </w:rPr>
      </w:pPr>
      <w:r>
        <w:rPr>
          <w:sz w:val="24"/>
        </w:rPr>
        <w:t xml:space="preserve">LEIVAS, Paulo Gilberto </w:t>
      </w:r>
      <w:proofErr w:type="spellStart"/>
      <w:r>
        <w:rPr>
          <w:sz w:val="24"/>
        </w:rPr>
        <w:t>Cogo</w:t>
      </w:r>
      <w:proofErr w:type="spellEnd"/>
      <w:r>
        <w:rPr>
          <w:sz w:val="24"/>
        </w:rPr>
        <w:t xml:space="preserve">, </w:t>
      </w:r>
      <w:proofErr w:type="gramStart"/>
      <w:r>
        <w:rPr>
          <w:sz w:val="24"/>
        </w:rPr>
        <w:t>et</w:t>
      </w:r>
      <w:proofErr w:type="gramEnd"/>
      <w:r>
        <w:rPr>
          <w:sz w:val="24"/>
        </w:rPr>
        <w:t xml:space="preserve"> al. </w:t>
      </w:r>
      <w:r>
        <w:rPr>
          <w:b/>
          <w:sz w:val="24"/>
        </w:rPr>
        <w:t xml:space="preserve">Estrutura Normativa dos </w:t>
      </w:r>
      <w:proofErr w:type="spellStart"/>
      <w:r>
        <w:rPr>
          <w:b/>
          <w:sz w:val="24"/>
        </w:rPr>
        <w:t>Drireitos</w:t>
      </w:r>
      <w:proofErr w:type="spellEnd"/>
      <w:r>
        <w:rPr>
          <w:b/>
          <w:sz w:val="24"/>
        </w:rPr>
        <w:t xml:space="preserve"> Fundamentais Sociais e o Direito Fundamental ao Mínimo Existencial. </w:t>
      </w:r>
      <w:r>
        <w:rPr>
          <w:sz w:val="24"/>
        </w:rPr>
        <w:t xml:space="preserve">Direitos Sociais: fundamentos, </w:t>
      </w:r>
      <w:proofErr w:type="spellStart"/>
      <w:r>
        <w:rPr>
          <w:sz w:val="24"/>
        </w:rPr>
        <w:t>judicialização</w:t>
      </w:r>
      <w:proofErr w:type="spellEnd"/>
      <w:r>
        <w:rPr>
          <w:sz w:val="24"/>
        </w:rPr>
        <w:t xml:space="preserve"> e direitos sociais em espécie. </w:t>
      </w:r>
      <w:proofErr w:type="gramStart"/>
      <w:r>
        <w:rPr>
          <w:sz w:val="24"/>
        </w:rPr>
        <w:t>ed.</w:t>
      </w:r>
      <w:proofErr w:type="gramEnd"/>
      <w:r>
        <w:rPr>
          <w:sz w:val="24"/>
        </w:rPr>
        <w:t xml:space="preserve"> </w:t>
      </w:r>
      <w:proofErr w:type="spellStart"/>
      <w:r>
        <w:rPr>
          <w:sz w:val="24"/>
        </w:rPr>
        <w:t>Lumen</w:t>
      </w:r>
      <w:proofErr w:type="spellEnd"/>
      <w:r>
        <w:rPr>
          <w:sz w:val="24"/>
        </w:rPr>
        <w:t xml:space="preserve"> </w:t>
      </w:r>
      <w:proofErr w:type="spellStart"/>
      <w:r>
        <w:rPr>
          <w:sz w:val="24"/>
        </w:rPr>
        <w:t>Juris</w:t>
      </w:r>
      <w:proofErr w:type="spellEnd"/>
      <w:r>
        <w:rPr>
          <w:sz w:val="24"/>
        </w:rPr>
        <w:t>, RJ, 2010, p. 279-312.</w:t>
      </w:r>
    </w:p>
    <w:p w:rsidR="000C1331" w:rsidRDefault="00D83680">
      <w:pPr>
        <w:spacing w:before="200" w:line="360" w:lineRule="auto"/>
        <w:ind w:left="142" w:right="236"/>
        <w:jc w:val="both"/>
        <w:rPr>
          <w:sz w:val="24"/>
        </w:rPr>
      </w:pPr>
      <w:r>
        <w:rPr>
          <w:sz w:val="24"/>
        </w:rPr>
        <w:t xml:space="preserve">SARLET, </w:t>
      </w:r>
      <w:proofErr w:type="spellStart"/>
      <w:r>
        <w:rPr>
          <w:sz w:val="24"/>
        </w:rPr>
        <w:t>Ingo</w:t>
      </w:r>
      <w:proofErr w:type="spellEnd"/>
      <w:r>
        <w:rPr>
          <w:sz w:val="24"/>
        </w:rPr>
        <w:t xml:space="preserve"> Wolfgang; FIGUEIREDO, Mar</w:t>
      </w:r>
      <w:r>
        <w:rPr>
          <w:sz w:val="24"/>
        </w:rPr>
        <w:t xml:space="preserve">iana </w:t>
      </w:r>
      <w:proofErr w:type="spellStart"/>
      <w:r>
        <w:rPr>
          <w:sz w:val="24"/>
        </w:rPr>
        <w:t>Filchtiner</w:t>
      </w:r>
      <w:proofErr w:type="spellEnd"/>
      <w:r>
        <w:rPr>
          <w:sz w:val="24"/>
        </w:rPr>
        <w:t xml:space="preserve">. Reserva do possível, mínimo existencial e direito à saúde: algumas aproximações. </w:t>
      </w:r>
      <w:proofErr w:type="spellStart"/>
      <w:r>
        <w:rPr>
          <w:b/>
          <w:sz w:val="24"/>
        </w:rPr>
        <w:t>Sarle</w:t>
      </w:r>
      <w:proofErr w:type="spellEnd"/>
      <w:r>
        <w:rPr>
          <w:b/>
          <w:sz w:val="24"/>
        </w:rPr>
        <w:t xml:space="preserve"> IW, </w:t>
      </w:r>
      <w:proofErr w:type="spellStart"/>
      <w:r>
        <w:rPr>
          <w:b/>
          <w:sz w:val="24"/>
        </w:rPr>
        <w:t>Timm</w:t>
      </w:r>
      <w:proofErr w:type="spellEnd"/>
      <w:r>
        <w:rPr>
          <w:b/>
          <w:sz w:val="24"/>
        </w:rPr>
        <w:t xml:space="preserve"> LB, organizadores. Direitos fundamentais: orçamento e reserva do possível. Porto Alegre: Livraria do Advogado</w:t>
      </w:r>
      <w:r>
        <w:rPr>
          <w:sz w:val="24"/>
        </w:rPr>
        <w:t>, 2008, p. 11-53.</w:t>
      </w:r>
    </w:p>
    <w:sectPr w:rsidR="000C1331" w:rsidSect="000C1331">
      <w:pgSz w:w="11910" w:h="16840"/>
      <w:pgMar w:top="1580" w:right="1180" w:bottom="280"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3C76B8"/>
    <w:multiLevelType w:val="hybridMultilevel"/>
    <w:tmpl w:val="C93EC848"/>
    <w:lvl w:ilvl="0" w:tplc="E7E61E12">
      <w:start w:val="1"/>
      <w:numFmt w:val="decimal"/>
      <w:lvlText w:val="%1."/>
      <w:lvlJc w:val="left"/>
      <w:pPr>
        <w:ind w:left="425" w:hanging="284"/>
      </w:pPr>
      <w:rPr>
        <w:rFonts w:ascii="Times New Roman" w:eastAsia="Times New Roman" w:hAnsi="Times New Roman" w:cs="Times New Roman" w:hint="default"/>
        <w:b/>
        <w:bCs/>
        <w:spacing w:val="-17"/>
        <w:w w:val="99"/>
        <w:sz w:val="24"/>
        <w:szCs w:val="24"/>
        <w:lang w:val="pt-BR" w:eastAsia="pt-BR" w:bidi="pt-BR"/>
      </w:rPr>
    </w:lvl>
    <w:lvl w:ilvl="1" w:tplc="1D907AFA">
      <w:numFmt w:val="bullet"/>
      <w:lvlText w:val="•"/>
      <w:lvlJc w:val="left"/>
      <w:pPr>
        <w:ind w:left="2420" w:hanging="284"/>
      </w:pPr>
      <w:rPr>
        <w:rFonts w:hint="default"/>
        <w:lang w:val="pt-BR" w:eastAsia="pt-BR" w:bidi="pt-BR"/>
      </w:rPr>
    </w:lvl>
    <w:lvl w:ilvl="2" w:tplc="36049860">
      <w:numFmt w:val="bullet"/>
      <w:lvlText w:val="•"/>
      <w:lvlJc w:val="left"/>
      <w:pPr>
        <w:ind w:left="3169" w:hanging="284"/>
      </w:pPr>
      <w:rPr>
        <w:rFonts w:hint="default"/>
        <w:lang w:val="pt-BR" w:eastAsia="pt-BR" w:bidi="pt-BR"/>
      </w:rPr>
    </w:lvl>
    <w:lvl w:ilvl="3" w:tplc="05306918">
      <w:numFmt w:val="bullet"/>
      <w:lvlText w:val="•"/>
      <w:lvlJc w:val="left"/>
      <w:pPr>
        <w:ind w:left="3919" w:hanging="284"/>
      </w:pPr>
      <w:rPr>
        <w:rFonts w:hint="default"/>
        <w:lang w:val="pt-BR" w:eastAsia="pt-BR" w:bidi="pt-BR"/>
      </w:rPr>
    </w:lvl>
    <w:lvl w:ilvl="4" w:tplc="4F68AE30">
      <w:numFmt w:val="bullet"/>
      <w:lvlText w:val="•"/>
      <w:lvlJc w:val="left"/>
      <w:pPr>
        <w:ind w:left="4668" w:hanging="284"/>
      </w:pPr>
      <w:rPr>
        <w:rFonts w:hint="default"/>
        <w:lang w:val="pt-BR" w:eastAsia="pt-BR" w:bidi="pt-BR"/>
      </w:rPr>
    </w:lvl>
    <w:lvl w:ilvl="5" w:tplc="EDBCE758">
      <w:numFmt w:val="bullet"/>
      <w:lvlText w:val="•"/>
      <w:lvlJc w:val="left"/>
      <w:pPr>
        <w:ind w:left="5418" w:hanging="284"/>
      </w:pPr>
      <w:rPr>
        <w:rFonts w:hint="default"/>
        <w:lang w:val="pt-BR" w:eastAsia="pt-BR" w:bidi="pt-BR"/>
      </w:rPr>
    </w:lvl>
    <w:lvl w:ilvl="6" w:tplc="9B4C3E54">
      <w:numFmt w:val="bullet"/>
      <w:lvlText w:val="•"/>
      <w:lvlJc w:val="left"/>
      <w:pPr>
        <w:ind w:left="6168" w:hanging="284"/>
      </w:pPr>
      <w:rPr>
        <w:rFonts w:hint="default"/>
        <w:lang w:val="pt-BR" w:eastAsia="pt-BR" w:bidi="pt-BR"/>
      </w:rPr>
    </w:lvl>
    <w:lvl w:ilvl="7" w:tplc="8C94A972">
      <w:numFmt w:val="bullet"/>
      <w:lvlText w:val="•"/>
      <w:lvlJc w:val="left"/>
      <w:pPr>
        <w:ind w:left="6917" w:hanging="284"/>
      </w:pPr>
      <w:rPr>
        <w:rFonts w:hint="default"/>
        <w:lang w:val="pt-BR" w:eastAsia="pt-BR" w:bidi="pt-BR"/>
      </w:rPr>
    </w:lvl>
    <w:lvl w:ilvl="8" w:tplc="F9A86756">
      <w:numFmt w:val="bullet"/>
      <w:lvlText w:val="•"/>
      <w:lvlJc w:val="left"/>
      <w:pPr>
        <w:ind w:left="7667" w:hanging="284"/>
      </w:pPr>
      <w:rPr>
        <w:rFonts w:hint="default"/>
        <w:lang w:val="pt-BR" w:eastAsia="pt-BR" w:bidi="pt-B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useFELayout/>
  </w:compat>
  <w:rsids>
    <w:rsidRoot w:val="000C1331"/>
    <w:rsid w:val="000C1331"/>
    <w:rsid w:val="00266704"/>
    <w:rsid w:val="009E2A01"/>
    <w:rsid w:val="00CF3C8C"/>
    <w:rsid w:val="00D836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1331"/>
    <w:rPr>
      <w:rFonts w:ascii="Times New Roman" w:eastAsia="Times New Roman" w:hAnsi="Times New Roman" w:cs="Times New Roman"/>
      <w:lang w:val="pt-BR" w:eastAsia="pt-BR" w:bidi="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C1331"/>
    <w:tblPr>
      <w:tblInd w:w="0" w:type="dxa"/>
      <w:tblCellMar>
        <w:top w:w="0" w:type="dxa"/>
        <w:left w:w="0" w:type="dxa"/>
        <w:bottom w:w="0" w:type="dxa"/>
        <w:right w:w="0" w:type="dxa"/>
      </w:tblCellMar>
    </w:tblPr>
  </w:style>
  <w:style w:type="paragraph" w:styleId="Corpodetexto">
    <w:name w:val="Body Text"/>
    <w:basedOn w:val="Normal"/>
    <w:uiPriority w:val="1"/>
    <w:qFormat/>
    <w:rsid w:val="000C1331"/>
    <w:pPr>
      <w:ind w:left="142"/>
    </w:pPr>
    <w:rPr>
      <w:sz w:val="24"/>
      <w:szCs w:val="24"/>
    </w:rPr>
  </w:style>
  <w:style w:type="paragraph" w:customStyle="1" w:styleId="Heading1">
    <w:name w:val="Heading 1"/>
    <w:basedOn w:val="Normal"/>
    <w:uiPriority w:val="1"/>
    <w:qFormat/>
    <w:rsid w:val="000C1331"/>
    <w:pPr>
      <w:ind w:left="142"/>
      <w:outlineLvl w:val="1"/>
    </w:pPr>
    <w:rPr>
      <w:b/>
      <w:bCs/>
      <w:sz w:val="24"/>
      <w:szCs w:val="24"/>
    </w:rPr>
  </w:style>
  <w:style w:type="paragraph" w:styleId="PargrafodaLista">
    <w:name w:val="List Paragraph"/>
    <w:basedOn w:val="Normal"/>
    <w:uiPriority w:val="1"/>
    <w:qFormat/>
    <w:rsid w:val="000C1331"/>
    <w:pPr>
      <w:spacing w:before="1"/>
      <w:ind w:left="425" w:hanging="283"/>
    </w:pPr>
  </w:style>
  <w:style w:type="paragraph" w:customStyle="1" w:styleId="TableParagraph">
    <w:name w:val="Table Paragraph"/>
    <w:basedOn w:val="Normal"/>
    <w:uiPriority w:val="1"/>
    <w:qFormat/>
    <w:rsid w:val="000C1331"/>
    <w:pPr>
      <w:spacing w:before="16"/>
    </w:pPr>
  </w:style>
</w:styles>
</file>

<file path=word/webSettings.xml><?xml version="1.0" encoding="utf-8"?>
<w:webSettings xmlns:r="http://schemas.openxmlformats.org/officeDocument/2006/relationships" xmlns:w="http://schemas.openxmlformats.org/wordprocessingml/2006/main">
  <w:divs>
    <w:div w:id="392703203">
      <w:bodyDiv w:val="1"/>
      <w:marLeft w:val="0"/>
      <w:marRight w:val="0"/>
      <w:marTop w:val="0"/>
      <w:marBottom w:val="0"/>
      <w:divBdr>
        <w:top w:val="none" w:sz="0" w:space="0" w:color="auto"/>
        <w:left w:val="none" w:sz="0" w:space="0" w:color="auto"/>
        <w:bottom w:val="none" w:sz="0" w:space="0" w:color="auto"/>
        <w:right w:val="none" w:sz="0" w:space="0" w:color="auto"/>
      </w:divBdr>
    </w:div>
    <w:div w:id="635336558">
      <w:bodyDiv w:val="1"/>
      <w:marLeft w:val="0"/>
      <w:marRight w:val="0"/>
      <w:marTop w:val="0"/>
      <w:marBottom w:val="0"/>
      <w:divBdr>
        <w:top w:val="none" w:sz="0" w:space="0" w:color="auto"/>
        <w:left w:val="none" w:sz="0" w:space="0" w:color="auto"/>
        <w:bottom w:val="none" w:sz="0" w:space="0" w:color="auto"/>
        <w:right w:val="none" w:sz="0" w:space="0" w:color="auto"/>
      </w:divBdr>
    </w:div>
    <w:div w:id="671223652">
      <w:bodyDiv w:val="1"/>
      <w:marLeft w:val="0"/>
      <w:marRight w:val="0"/>
      <w:marTop w:val="0"/>
      <w:marBottom w:val="0"/>
      <w:divBdr>
        <w:top w:val="none" w:sz="0" w:space="0" w:color="auto"/>
        <w:left w:val="none" w:sz="0" w:space="0" w:color="auto"/>
        <w:bottom w:val="none" w:sz="0" w:space="0" w:color="auto"/>
        <w:right w:val="none" w:sz="0" w:space="0" w:color="auto"/>
      </w:divBdr>
    </w:div>
    <w:div w:id="1039470858">
      <w:bodyDiv w:val="1"/>
      <w:marLeft w:val="0"/>
      <w:marRight w:val="0"/>
      <w:marTop w:val="0"/>
      <w:marBottom w:val="0"/>
      <w:divBdr>
        <w:top w:val="none" w:sz="0" w:space="0" w:color="auto"/>
        <w:left w:val="none" w:sz="0" w:space="0" w:color="auto"/>
        <w:bottom w:val="none" w:sz="0" w:space="0" w:color="auto"/>
        <w:right w:val="none" w:sz="0" w:space="0" w:color="auto"/>
      </w:divBdr>
    </w:div>
    <w:div w:id="1067604797">
      <w:bodyDiv w:val="1"/>
      <w:marLeft w:val="0"/>
      <w:marRight w:val="0"/>
      <w:marTop w:val="0"/>
      <w:marBottom w:val="0"/>
      <w:divBdr>
        <w:top w:val="none" w:sz="0" w:space="0" w:color="auto"/>
        <w:left w:val="none" w:sz="0" w:space="0" w:color="auto"/>
        <w:bottom w:val="none" w:sz="0" w:space="0" w:color="auto"/>
        <w:right w:val="none" w:sz="0" w:space="0" w:color="auto"/>
      </w:divBdr>
    </w:div>
    <w:div w:id="1423528175">
      <w:bodyDiv w:val="1"/>
      <w:marLeft w:val="0"/>
      <w:marRight w:val="0"/>
      <w:marTop w:val="0"/>
      <w:marBottom w:val="0"/>
      <w:divBdr>
        <w:top w:val="none" w:sz="0" w:space="0" w:color="auto"/>
        <w:left w:val="none" w:sz="0" w:space="0" w:color="auto"/>
        <w:bottom w:val="none" w:sz="0" w:space="0" w:color="auto"/>
        <w:right w:val="none" w:sz="0" w:space="0" w:color="auto"/>
      </w:divBdr>
    </w:div>
    <w:div w:id="1649554833">
      <w:bodyDiv w:val="1"/>
      <w:marLeft w:val="0"/>
      <w:marRight w:val="0"/>
      <w:marTop w:val="0"/>
      <w:marBottom w:val="0"/>
      <w:divBdr>
        <w:top w:val="none" w:sz="0" w:space="0" w:color="auto"/>
        <w:left w:val="none" w:sz="0" w:space="0" w:color="auto"/>
        <w:bottom w:val="none" w:sz="0" w:space="0" w:color="auto"/>
        <w:right w:val="none" w:sz="0" w:space="0" w:color="auto"/>
      </w:divBdr>
    </w:div>
    <w:div w:id="1650592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mbientes.ambientebras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13</Pages>
  <Words>4916</Words>
  <Characters>26552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dc:creator>
  <cp:lastModifiedBy>User</cp:lastModifiedBy>
  <cp:revision>3</cp:revision>
  <dcterms:created xsi:type="dcterms:W3CDTF">2018-03-26T14:06:00Z</dcterms:created>
  <dcterms:modified xsi:type="dcterms:W3CDTF">2018-03-26T15:07:00Z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2017-07-10T00:00:00Z</vt:filetime>
  </property>
  <property fmtid="{D5CDD505-2E9C-101B-9397-08002B2CF9AE}" pid="3" name="Creator">
    <vt:lpwstr>Microsoft® Office Word 2007</vt:lpwstr>
  </property>
  <property fmtid="{D5CDD505-2E9C-101B-9397-08002B2CF9AE}" pid="4" name="LastSaved">
    <vt:filetime>2018-03-26T00:00:00Z</vt:filetime>
  </property>
</Properties>
</file>