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97D" w:rsidRPr="00C6397D" w:rsidRDefault="00C6397D" w:rsidP="00EC5205">
      <w:pPr>
        <w:spacing w:after="0" w:line="360" w:lineRule="auto"/>
        <w:jc w:val="both"/>
        <w:rPr>
          <w:rFonts w:ascii="Times New Roman" w:hAnsi="Times New Roman"/>
          <w:bCs/>
          <w:sz w:val="24"/>
          <w:szCs w:val="24"/>
        </w:rPr>
      </w:pPr>
      <w:r>
        <w:rPr>
          <w:rFonts w:ascii="Times New Roman" w:hAnsi="Times New Roman"/>
          <w:b/>
          <w:sz w:val="24"/>
          <w:szCs w:val="24"/>
        </w:rPr>
        <w:t xml:space="preserve">A MULHER COMO UM SUJEITO VIOLÁVEL NO CÁRCERE: </w:t>
      </w:r>
      <w:r>
        <w:rPr>
          <w:rFonts w:ascii="Times New Roman" w:hAnsi="Times New Roman"/>
          <w:bCs/>
          <w:sz w:val="24"/>
          <w:szCs w:val="24"/>
        </w:rPr>
        <w:t>UMA ANÁLISE SÓCIO-JURÍDICA DA MULHER NO CÁRCERE, À LUZ DA TEORIA DE PIERRE BOURDIEU</w:t>
      </w:r>
    </w:p>
    <w:p w:rsidR="00C6397D" w:rsidRDefault="00F035C6" w:rsidP="00F035C6">
      <w:pPr>
        <w:spacing w:after="0" w:line="360" w:lineRule="auto"/>
        <w:jc w:val="right"/>
        <w:rPr>
          <w:rFonts w:ascii="Times New Roman" w:hAnsi="Times New Roman"/>
          <w:b/>
          <w:sz w:val="24"/>
          <w:szCs w:val="24"/>
        </w:rPr>
      </w:pPr>
      <w:r>
        <w:rPr>
          <w:rFonts w:ascii="Times New Roman" w:hAnsi="Times New Roman"/>
          <w:b/>
          <w:sz w:val="24"/>
          <w:szCs w:val="24"/>
        </w:rPr>
        <w:t>Lorena Araújo Matos</w:t>
      </w:r>
      <w:r w:rsidR="006F19F0">
        <w:rPr>
          <w:rStyle w:val="Refdenotaderodap"/>
          <w:rFonts w:ascii="Times New Roman" w:hAnsi="Times New Roman"/>
          <w:b/>
          <w:sz w:val="24"/>
          <w:szCs w:val="24"/>
        </w:rPr>
        <w:footnoteReference w:id="1"/>
      </w:r>
    </w:p>
    <w:p w:rsidR="00F035C6" w:rsidRDefault="00F035C6" w:rsidP="00F035C6">
      <w:pPr>
        <w:spacing w:after="0" w:line="360" w:lineRule="auto"/>
        <w:jc w:val="right"/>
        <w:rPr>
          <w:rFonts w:ascii="Times New Roman" w:hAnsi="Times New Roman"/>
          <w:b/>
          <w:sz w:val="24"/>
          <w:szCs w:val="24"/>
        </w:rPr>
      </w:pPr>
      <w:r>
        <w:rPr>
          <w:rFonts w:ascii="Times New Roman" w:hAnsi="Times New Roman"/>
          <w:b/>
          <w:sz w:val="24"/>
          <w:szCs w:val="24"/>
        </w:rPr>
        <w:t>Thiago Augusto Galeão de Azevedo</w:t>
      </w:r>
      <w:r w:rsidR="006F19F0">
        <w:rPr>
          <w:rStyle w:val="Refdenotaderodap"/>
          <w:rFonts w:ascii="Times New Roman" w:hAnsi="Times New Roman"/>
          <w:b/>
          <w:sz w:val="24"/>
          <w:szCs w:val="24"/>
        </w:rPr>
        <w:footnoteReference w:id="2"/>
      </w:r>
    </w:p>
    <w:p w:rsidR="00C6397D" w:rsidRDefault="00C6397D" w:rsidP="00EC5205">
      <w:pPr>
        <w:spacing w:after="0" w:line="360" w:lineRule="auto"/>
        <w:jc w:val="both"/>
        <w:rPr>
          <w:rFonts w:ascii="Times New Roman" w:hAnsi="Times New Roman"/>
          <w:b/>
          <w:sz w:val="24"/>
          <w:szCs w:val="24"/>
        </w:rPr>
      </w:pPr>
      <w:r>
        <w:rPr>
          <w:rFonts w:ascii="Times New Roman" w:hAnsi="Times New Roman"/>
          <w:b/>
          <w:sz w:val="24"/>
          <w:szCs w:val="24"/>
        </w:rPr>
        <w:t>RESUMO</w:t>
      </w:r>
    </w:p>
    <w:p w:rsidR="00C6397D" w:rsidRPr="00C6397D" w:rsidRDefault="00C6397D" w:rsidP="00BF362B">
      <w:pPr>
        <w:spacing w:after="0" w:line="360" w:lineRule="auto"/>
        <w:jc w:val="both"/>
        <w:rPr>
          <w:rFonts w:ascii="Times New Roman" w:hAnsi="Times New Roman"/>
          <w:bCs/>
          <w:sz w:val="24"/>
          <w:szCs w:val="24"/>
        </w:rPr>
      </w:pPr>
      <w:r>
        <w:rPr>
          <w:rFonts w:ascii="Times New Roman" w:hAnsi="Times New Roman"/>
          <w:bCs/>
          <w:sz w:val="24"/>
          <w:szCs w:val="24"/>
        </w:rPr>
        <w:t xml:space="preserve">O estudo proposto tem como objeto a análise do encarceramento feminino e a sua relação com uma dominação do masculino por meio de uma violência simbólica. Objetiva-se, em níveis gerais, analisar a mulher no cárcere, correlacionando-o com uma perspectiva teórica de Pierre </w:t>
      </w:r>
      <w:proofErr w:type="spellStart"/>
      <w:r>
        <w:rPr>
          <w:rFonts w:ascii="Times New Roman" w:hAnsi="Times New Roman"/>
          <w:bCs/>
          <w:sz w:val="24"/>
          <w:szCs w:val="24"/>
        </w:rPr>
        <w:t>Bourdieu</w:t>
      </w:r>
      <w:proofErr w:type="spellEnd"/>
      <w:r>
        <w:rPr>
          <w:rFonts w:ascii="Times New Roman" w:hAnsi="Times New Roman"/>
          <w:bCs/>
          <w:sz w:val="24"/>
          <w:szCs w:val="24"/>
        </w:rPr>
        <w:t xml:space="preserve">. Busca-se responder em que medida o cárcere é uma instituição permeada por preceitos masculinos construídos e solidificados em detrimento da mulher, expondo-a ao nível de ser </w:t>
      </w:r>
      <w:proofErr w:type="spellStart"/>
      <w:r>
        <w:rPr>
          <w:rFonts w:ascii="Times New Roman" w:hAnsi="Times New Roman"/>
          <w:bCs/>
          <w:sz w:val="24"/>
          <w:szCs w:val="24"/>
        </w:rPr>
        <w:t>matável</w:t>
      </w:r>
      <w:proofErr w:type="spellEnd"/>
      <w:r>
        <w:rPr>
          <w:rFonts w:ascii="Times New Roman" w:hAnsi="Times New Roman"/>
          <w:bCs/>
          <w:sz w:val="24"/>
          <w:szCs w:val="24"/>
        </w:rPr>
        <w:t xml:space="preserve">? Para tanto, realizou-se uma análise teórica sobre a teoria de Pierre </w:t>
      </w:r>
      <w:proofErr w:type="spellStart"/>
      <w:r>
        <w:rPr>
          <w:rFonts w:ascii="Times New Roman" w:hAnsi="Times New Roman"/>
          <w:bCs/>
          <w:sz w:val="24"/>
          <w:szCs w:val="24"/>
        </w:rPr>
        <w:t>Bourdieu</w:t>
      </w:r>
      <w:proofErr w:type="spellEnd"/>
      <w:r>
        <w:rPr>
          <w:rFonts w:ascii="Times New Roman" w:hAnsi="Times New Roman"/>
          <w:bCs/>
          <w:sz w:val="24"/>
          <w:szCs w:val="24"/>
        </w:rPr>
        <w:t xml:space="preserve">, seguida de uma análise </w:t>
      </w:r>
      <w:proofErr w:type="spellStart"/>
      <w:r>
        <w:rPr>
          <w:rFonts w:ascii="Times New Roman" w:hAnsi="Times New Roman"/>
          <w:bCs/>
          <w:sz w:val="24"/>
          <w:szCs w:val="24"/>
        </w:rPr>
        <w:t>sócio-jurídica</w:t>
      </w:r>
      <w:proofErr w:type="spellEnd"/>
      <w:r>
        <w:rPr>
          <w:rFonts w:ascii="Times New Roman" w:hAnsi="Times New Roman"/>
          <w:bCs/>
          <w:sz w:val="24"/>
          <w:szCs w:val="24"/>
        </w:rPr>
        <w:t xml:space="preserve"> da mulher no cárcere. Utiliza-se, metodologicamente, da pesquisa bibliográfica.</w:t>
      </w:r>
    </w:p>
    <w:p w:rsidR="00C6397D" w:rsidRDefault="00C6397D" w:rsidP="00EC5205">
      <w:pPr>
        <w:spacing w:after="0" w:line="360" w:lineRule="auto"/>
        <w:jc w:val="both"/>
        <w:rPr>
          <w:rFonts w:ascii="Times New Roman" w:hAnsi="Times New Roman"/>
          <w:b/>
          <w:sz w:val="24"/>
          <w:szCs w:val="24"/>
        </w:rPr>
      </w:pPr>
    </w:p>
    <w:p w:rsidR="00BF362B" w:rsidRDefault="00BF362B" w:rsidP="00EC5205">
      <w:pPr>
        <w:spacing w:after="0" w:line="360" w:lineRule="auto"/>
        <w:jc w:val="both"/>
        <w:rPr>
          <w:rFonts w:ascii="Times New Roman" w:hAnsi="Times New Roman"/>
          <w:b/>
          <w:sz w:val="24"/>
          <w:szCs w:val="24"/>
        </w:rPr>
      </w:pPr>
      <w:r>
        <w:rPr>
          <w:rFonts w:ascii="Times New Roman" w:hAnsi="Times New Roman"/>
          <w:b/>
          <w:sz w:val="24"/>
          <w:szCs w:val="24"/>
        </w:rPr>
        <w:t>PALAVRAS-CHAVE</w:t>
      </w:r>
    </w:p>
    <w:p w:rsidR="00BF362B" w:rsidRPr="00BF362B" w:rsidRDefault="00BF362B" w:rsidP="00EC5205">
      <w:pPr>
        <w:spacing w:after="0" w:line="360" w:lineRule="auto"/>
        <w:jc w:val="both"/>
        <w:rPr>
          <w:rFonts w:ascii="Times New Roman" w:hAnsi="Times New Roman"/>
          <w:sz w:val="24"/>
          <w:szCs w:val="24"/>
        </w:rPr>
      </w:pPr>
      <w:r w:rsidRPr="00BF362B">
        <w:rPr>
          <w:rFonts w:ascii="Times New Roman" w:hAnsi="Times New Roman"/>
          <w:sz w:val="24"/>
          <w:szCs w:val="24"/>
        </w:rPr>
        <w:t>DOMINAÇÃO MASCULINA; VIOLÊNCIA SIMBÓLICA; MULHER; ENCARCERAMENTO FEMININO; VIOLÁVEL.</w:t>
      </w:r>
    </w:p>
    <w:p w:rsidR="00BF362B" w:rsidRPr="006F19F0" w:rsidRDefault="00BF362B" w:rsidP="00EC5205">
      <w:pPr>
        <w:spacing w:after="0" w:line="360" w:lineRule="auto"/>
        <w:jc w:val="both"/>
        <w:rPr>
          <w:rFonts w:ascii="Times New Roman" w:hAnsi="Times New Roman"/>
          <w:b/>
          <w:sz w:val="24"/>
          <w:szCs w:val="24"/>
        </w:rPr>
      </w:pPr>
    </w:p>
    <w:p w:rsidR="00BF362B" w:rsidRPr="00BF362B" w:rsidRDefault="00BF362B" w:rsidP="00EC5205">
      <w:pPr>
        <w:spacing w:after="0" w:line="360" w:lineRule="auto"/>
        <w:jc w:val="both"/>
        <w:rPr>
          <w:rFonts w:ascii="Times New Roman" w:hAnsi="Times New Roman"/>
          <w:b/>
          <w:sz w:val="24"/>
          <w:szCs w:val="24"/>
          <w:lang w:val="en-US"/>
        </w:rPr>
      </w:pPr>
      <w:r w:rsidRPr="00BF362B">
        <w:rPr>
          <w:rFonts w:ascii="Times New Roman" w:hAnsi="Times New Roman"/>
          <w:b/>
          <w:sz w:val="24"/>
          <w:szCs w:val="24"/>
          <w:lang w:val="en-US"/>
        </w:rPr>
        <w:t xml:space="preserve">WOMAN AS A VIOLABLE SUBJECT IN Jail: A SOCIO-LEGAL ANALYSIS OF WOMAN IN </w:t>
      </w:r>
      <w:r w:rsidR="006F19F0">
        <w:rPr>
          <w:rFonts w:ascii="Times New Roman" w:hAnsi="Times New Roman"/>
          <w:b/>
          <w:sz w:val="24"/>
          <w:szCs w:val="24"/>
          <w:lang w:val="en-US"/>
        </w:rPr>
        <w:t>JAIL</w:t>
      </w:r>
      <w:bookmarkStart w:id="0" w:name="_GoBack"/>
      <w:bookmarkEnd w:id="0"/>
      <w:r w:rsidRPr="00BF362B">
        <w:rPr>
          <w:rFonts w:ascii="Times New Roman" w:hAnsi="Times New Roman"/>
          <w:b/>
          <w:sz w:val="24"/>
          <w:szCs w:val="24"/>
          <w:lang w:val="en-US"/>
        </w:rPr>
        <w:t>, IN THE LIGHT OF PIERRE BOURDIEU THEORY</w:t>
      </w:r>
    </w:p>
    <w:p w:rsidR="00BF362B" w:rsidRPr="006F19F0" w:rsidRDefault="00BF362B" w:rsidP="00EC5205">
      <w:pPr>
        <w:spacing w:after="0" w:line="360" w:lineRule="auto"/>
        <w:jc w:val="both"/>
        <w:rPr>
          <w:rFonts w:ascii="Times New Roman" w:hAnsi="Times New Roman"/>
          <w:b/>
          <w:sz w:val="24"/>
          <w:szCs w:val="24"/>
          <w:lang w:val="en-US"/>
        </w:rPr>
      </w:pPr>
    </w:p>
    <w:p w:rsidR="00BF362B" w:rsidRPr="006F19F0" w:rsidRDefault="00BF362B" w:rsidP="00EC5205">
      <w:pPr>
        <w:spacing w:after="0" w:line="360" w:lineRule="auto"/>
        <w:jc w:val="both"/>
        <w:rPr>
          <w:rFonts w:ascii="Times New Roman" w:hAnsi="Times New Roman"/>
          <w:b/>
          <w:sz w:val="24"/>
          <w:szCs w:val="24"/>
          <w:lang w:val="en-US"/>
        </w:rPr>
      </w:pPr>
      <w:r w:rsidRPr="006F19F0">
        <w:rPr>
          <w:rFonts w:ascii="Times New Roman" w:hAnsi="Times New Roman"/>
          <w:b/>
          <w:sz w:val="24"/>
          <w:szCs w:val="24"/>
          <w:lang w:val="en-US"/>
        </w:rPr>
        <w:t>ABSTRACT</w:t>
      </w:r>
    </w:p>
    <w:p w:rsidR="00BF362B" w:rsidRPr="00BF362B" w:rsidRDefault="00BF362B" w:rsidP="00DD4B35">
      <w:pPr>
        <w:spacing w:after="0" w:line="360" w:lineRule="auto"/>
        <w:jc w:val="both"/>
        <w:rPr>
          <w:rFonts w:ascii="Times New Roman" w:hAnsi="Times New Roman"/>
          <w:sz w:val="24"/>
          <w:szCs w:val="24"/>
        </w:rPr>
      </w:pPr>
      <w:r w:rsidRPr="00BF362B">
        <w:rPr>
          <w:rFonts w:ascii="Times New Roman" w:hAnsi="Times New Roman"/>
          <w:sz w:val="24"/>
          <w:szCs w:val="24"/>
          <w:lang w:val="en-US"/>
        </w:rPr>
        <w:t xml:space="preserve">The proposed study has as its object the analysis of female incarceration and its relationship with a male domination through symbolic violence. The objective is, in general levels, to analyze the woman in the prison, correlating it with a theoretical perspective of Pierre Bourdieu. To what extent is jail an institution permeated by male precepts built and solidified to the detriment of women, exposing her to the level of being killable? Therefore, a theoretical </w:t>
      </w:r>
      <w:r w:rsidRPr="00BF362B">
        <w:rPr>
          <w:rFonts w:ascii="Times New Roman" w:hAnsi="Times New Roman"/>
          <w:sz w:val="24"/>
          <w:szCs w:val="24"/>
          <w:lang w:val="en-US"/>
        </w:rPr>
        <w:lastRenderedPageBreak/>
        <w:t xml:space="preserve">analysis of Pierre Bourdieu's theory was carried out, followed by a socio-legal analysis of women in prison. </w:t>
      </w:r>
      <w:proofErr w:type="spellStart"/>
      <w:r w:rsidRPr="00BF362B">
        <w:rPr>
          <w:rFonts w:ascii="Times New Roman" w:hAnsi="Times New Roman"/>
          <w:sz w:val="24"/>
          <w:szCs w:val="24"/>
        </w:rPr>
        <w:t>Methodologically</w:t>
      </w:r>
      <w:proofErr w:type="spellEnd"/>
      <w:r w:rsidRPr="00BF362B">
        <w:rPr>
          <w:rFonts w:ascii="Times New Roman" w:hAnsi="Times New Roman"/>
          <w:sz w:val="24"/>
          <w:szCs w:val="24"/>
        </w:rPr>
        <w:t xml:space="preserve">, it </w:t>
      </w:r>
      <w:proofErr w:type="spellStart"/>
      <w:r w:rsidRPr="00BF362B">
        <w:rPr>
          <w:rFonts w:ascii="Times New Roman" w:hAnsi="Times New Roman"/>
          <w:sz w:val="24"/>
          <w:szCs w:val="24"/>
        </w:rPr>
        <w:t>is</w:t>
      </w:r>
      <w:proofErr w:type="spellEnd"/>
      <w:r w:rsidRPr="00BF362B">
        <w:rPr>
          <w:rFonts w:ascii="Times New Roman" w:hAnsi="Times New Roman"/>
          <w:sz w:val="24"/>
          <w:szCs w:val="24"/>
        </w:rPr>
        <w:t xml:space="preserve"> </w:t>
      </w:r>
      <w:proofErr w:type="spellStart"/>
      <w:r w:rsidRPr="00BF362B">
        <w:rPr>
          <w:rFonts w:ascii="Times New Roman" w:hAnsi="Times New Roman"/>
          <w:sz w:val="24"/>
          <w:szCs w:val="24"/>
        </w:rPr>
        <w:t>used</w:t>
      </w:r>
      <w:proofErr w:type="spellEnd"/>
      <w:r w:rsidRPr="00BF362B">
        <w:rPr>
          <w:rFonts w:ascii="Times New Roman" w:hAnsi="Times New Roman"/>
          <w:sz w:val="24"/>
          <w:szCs w:val="24"/>
        </w:rPr>
        <w:t xml:space="preserve"> </w:t>
      </w:r>
      <w:proofErr w:type="spellStart"/>
      <w:r w:rsidRPr="00BF362B">
        <w:rPr>
          <w:rFonts w:ascii="Times New Roman" w:hAnsi="Times New Roman"/>
          <w:sz w:val="24"/>
          <w:szCs w:val="24"/>
        </w:rPr>
        <w:t>the</w:t>
      </w:r>
      <w:proofErr w:type="spellEnd"/>
      <w:r w:rsidRPr="00BF362B">
        <w:rPr>
          <w:rFonts w:ascii="Times New Roman" w:hAnsi="Times New Roman"/>
          <w:sz w:val="24"/>
          <w:szCs w:val="24"/>
        </w:rPr>
        <w:t xml:space="preserve"> </w:t>
      </w:r>
      <w:proofErr w:type="spellStart"/>
      <w:r w:rsidRPr="00BF362B">
        <w:rPr>
          <w:rFonts w:ascii="Times New Roman" w:hAnsi="Times New Roman"/>
          <w:sz w:val="24"/>
          <w:szCs w:val="24"/>
        </w:rPr>
        <w:t>bibliographical</w:t>
      </w:r>
      <w:proofErr w:type="spellEnd"/>
      <w:r w:rsidRPr="00BF362B">
        <w:rPr>
          <w:rFonts w:ascii="Times New Roman" w:hAnsi="Times New Roman"/>
          <w:sz w:val="24"/>
          <w:szCs w:val="24"/>
        </w:rPr>
        <w:t xml:space="preserve"> </w:t>
      </w:r>
      <w:proofErr w:type="spellStart"/>
      <w:r w:rsidRPr="00BF362B">
        <w:rPr>
          <w:rFonts w:ascii="Times New Roman" w:hAnsi="Times New Roman"/>
          <w:sz w:val="24"/>
          <w:szCs w:val="24"/>
        </w:rPr>
        <w:t>research</w:t>
      </w:r>
      <w:proofErr w:type="spellEnd"/>
      <w:r w:rsidRPr="00BF362B">
        <w:rPr>
          <w:rFonts w:ascii="Times New Roman" w:hAnsi="Times New Roman"/>
          <w:sz w:val="24"/>
          <w:szCs w:val="24"/>
        </w:rPr>
        <w:t>.</w:t>
      </w:r>
    </w:p>
    <w:p w:rsidR="00BF362B" w:rsidRDefault="00BF362B" w:rsidP="00EC5205">
      <w:pPr>
        <w:spacing w:after="0" w:line="360" w:lineRule="auto"/>
        <w:jc w:val="both"/>
        <w:rPr>
          <w:rFonts w:ascii="Times New Roman" w:hAnsi="Times New Roman"/>
          <w:b/>
          <w:sz w:val="24"/>
          <w:szCs w:val="24"/>
        </w:rPr>
      </w:pPr>
    </w:p>
    <w:p w:rsidR="00BF362B" w:rsidRPr="00BF362B" w:rsidRDefault="00BF362B" w:rsidP="00EC5205">
      <w:pPr>
        <w:spacing w:after="0" w:line="360" w:lineRule="auto"/>
        <w:jc w:val="both"/>
        <w:rPr>
          <w:rFonts w:ascii="Times New Roman" w:hAnsi="Times New Roman"/>
          <w:b/>
          <w:sz w:val="24"/>
          <w:szCs w:val="24"/>
          <w:lang w:val="en-US"/>
        </w:rPr>
      </w:pPr>
      <w:r w:rsidRPr="00BF362B">
        <w:rPr>
          <w:rFonts w:ascii="Times New Roman" w:hAnsi="Times New Roman"/>
          <w:b/>
          <w:sz w:val="24"/>
          <w:szCs w:val="24"/>
          <w:lang w:val="en-US"/>
        </w:rPr>
        <w:t>KEYWORDS</w:t>
      </w:r>
    </w:p>
    <w:p w:rsidR="00BF362B" w:rsidRPr="00BF362B" w:rsidRDefault="00BF362B" w:rsidP="00EC5205">
      <w:pPr>
        <w:spacing w:after="0" w:line="360" w:lineRule="auto"/>
        <w:jc w:val="both"/>
        <w:rPr>
          <w:rFonts w:ascii="Times New Roman" w:hAnsi="Times New Roman"/>
          <w:sz w:val="24"/>
          <w:szCs w:val="24"/>
          <w:lang w:val="en-US"/>
        </w:rPr>
      </w:pPr>
      <w:r w:rsidRPr="00BF362B">
        <w:rPr>
          <w:rFonts w:ascii="Times New Roman" w:hAnsi="Times New Roman"/>
          <w:sz w:val="24"/>
          <w:szCs w:val="24"/>
          <w:lang w:val="en-US"/>
        </w:rPr>
        <w:t>MALE DOMINATION; SYMBOLIC VIOLENCE; WOMAN; FEMALE IMPRISONMENT; VIOLABLE.</w:t>
      </w:r>
    </w:p>
    <w:p w:rsidR="00BF362B" w:rsidRDefault="00BF362B" w:rsidP="00EC5205">
      <w:pPr>
        <w:spacing w:after="0" w:line="360" w:lineRule="auto"/>
        <w:jc w:val="both"/>
        <w:rPr>
          <w:rFonts w:ascii="Times New Roman" w:hAnsi="Times New Roman"/>
          <w:b/>
          <w:sz w:val="24"/>
          <w:szCs w:val="24"/>
          <w:lang w:val="en-US"/>
        </w:rPr>
      </w:pPr>
    </w:p>
    <w:p w:rsidR="00EC5205" w:rsidRPr="00BF362B" w:rsidRDefault="00EC5205" w:rsidP="00EC5205">
      <w:pPr>
        <w:spacing w:after="0" w:line="360" w:lineRule="auto"/>
        <w:jc w:val="both"/>
        <w:rPr>
          <w:rFonts w:ascii="Times New Roman" w:hAnsi="Times New Roman"/>
          <w:b/>
          <w:sz w:val="24"/>
          <w:szCs w:val="24"/>
          <w:lang w:val="en-US"/>
        </w:rPr>
      </w:pPr>
      <w:r w:rsidRPr="00BF362B">
        <w:rPr>
          <w:rFonts w:ascii="Times New Roman" w:hAnsi="Times New Roman"/>
          <w:b/>
          <w:sz w:val="24"/>
          <w:szCs w:val="24"/>
          <w:lang w:val="en-US"/>
        </w:rPr>
        <w:t xml:space="preserve">INTRODUÇÃO </w:t>
      </w:r>
    </w:p>
    <w:p w:rsidR="00EC5205" w:rsidRDefault="00EC5205" w:rsidP="00EC5205">
      <w:pPr>
        <w:spacing w:after="0" w:line="360" w:lineRule="auto"/>
        <w:jc w:val="both"/>
        <w:rPr>
          <w:rFonts w:ascii="Times New Roman" w:hAnsi="Times New Roman"/>
          <w:sz w:val="24"/>
          <w:szCs w:val="24"/>
        </w:rPr>
      </w:pPr>
      <w:r w:rsidRPr="00BF362B">
        <w:rPr>
          <w:rFonts w:ascii="Times New Roman" w:hAnsi="Times New Roman"/>
          <w:sz w:val="24"/>
          <w:szCs w:val="24"/>
          <w:lang w:val="en-US"/>
        </w:rPr>
        <w:t xml:space="preserve"> </w:t>
      </w:r>
      <w:r w:rsidRPr="00BF362B">
        <w:rPr>
          <w:rFonts w:ascii="Times New Roman" w:hAnsi="Times New Roman"/>
          <w:sz w:val="24"/>
          <w:szCs w:val="24"/>
          <w:lang w:val="en-US"/>
        </w:rPr>
        <w:tab/>
      </w:r>
      <w:r w:rsidRPr="00E06624">
        <w:rPr>
          <w:rFonts w:ascii="Times New Roman" w:hAnsi="Times New Roman"/>
          <w:sz w:val="24"/>
          <w:szCs w:val="24"/>
        </w:rPr>
        <w:t xml:space="preserve">O presente artigo </w:t>
      </w:r>
      <w:r>
        <w:rPr>
          <w:rFonts w:ascii="Times New Roman" w:hAnsi="Times New Roman"/>
          <w:sz w:val="24"/>
          <w:szCs w:val="24"/>
        </w:rPr>
        <w:t xml:space="preserve">tem como objetivo analisar os principais elementos da chamada Dominação Simbólica, fenômeno próprio ao filósofo Pierre </w:t>
      </w:r>
      <w:proofErr w:type="spellStart"/>
      <w:r>
        <w:rPr>
          <w:rFonts w:ascii="Times New Roman" w:hAnsi="Times New Roman"/>
          <w:sz w:val="24"/>
          <w:szCs w:val="24"/>
        </w:rPr>
        <w:t>Bourdieu</w:t>
      </w:r>
      <w:proofErr w:type="spellEnd"/>
      <w:r>
        <w:rPr>
          <w:rFonts w:ascii="Times New Roman" w:hAnsi="Times New Roman"/>
          <w:sz w:val="24"/>
          <w:szCs w:val="24"/>
        </w:rPr>
        <w:t xml:space="preserve">, à luz de sua teoria da Dominação Masculina, correlacionando com o encarceramento feminino no Brasil. </w:t>
      </w:r>
    </w:p>
    <w:p w:rsidR="00EC5205" w:rsidRPr="00E06624" w:rsidRDefault="00EC5205" w:rsidP="00EC5205">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Expor-se-á, para tanto, em uma primeira seção, </w:t>
      </w:r>
      <w:r w:rsidRPr="00E06624">
        <w:rPr>
          <w:rFonts w:ascii="Times New Roman" w:hAnsi="Times New Roman"/>
          <w:sz w:val="24"/>
          <w:szCs w:val="24"/>
        </w:rPr>
        <w:t>os e</w:t>
      </w:r>
      <w:r>
        <w:rPr>
          <w:rFonts w:ascii="Times New Roman" w:hAnsi="Times New Roman"/>
          <w:sz w:val="24"/>
          <w:szCs w:val="24"/>
        </w:rPr>
        <w:t>lementos centrais da teoria da D</w:t>
      </w:r>
      <w:r w:rsidRPr="00E06624">
        <w:rPr>
          <w:rFonts w:ascii="Times New Roman" w:hAnsi="Times New Roman"/>
          <w:sz w:val="24"/>
          <w:szCs w:val="24"/>
        </w:rPr>
        <w:t xml:space="preserve">ominação </w:t>
      </w:r>
      <w:r>
        <w:rPr>
          <w:rFonts w:ascii="Times New Roman" w:hAnsi="Times New Roman"/>
          <w:sz w:val="24"/>
          <w:szCs w:val="24"/>
        </w:rPr>
        <w:t>M</w:t>
      </w:r>
      <w:r w:rsidRPr="00E06624">
        <w:rPr>
          <w:rFonts w:ascii="Times New Roman" w:hAnsi="Times New Roman"/>
          <w:sz w:val="24"/>
          <w:szCs w:val="24"/>
        </w:rPr>
        <w:t xml:space="preserve">asculina, perpassando-se, principalmente, pelo fenômeno da Dominação Simbólica, Poder Simbólico, Violência Simbólica e </w:t>
      </w:r>
      <w:proofErr w:type="spellStart"/>
      <w:r w:rsidRPr="00E06624">
        <w:rPr>
          <w:rFonts w:ascii="Times New Roman" w:hAnsi="Times New Roman"/>
          <w:i/>
          <w:sz w:val="24"/>
          <w:szCs w:val="24"/>
        </w:rPr>
        <w:t>Habitus</w:t>
      </w:r>
      <w:proofErr w:type="spellEnd"/>
      <w:r>
        <w:rPr>
          <w:rFonts w:ascii="Times New Roman" w:hAnsi="Times New Roman"/>
          <w:sz w:val="24"/>
          <w:szCs w:val="24"/>
        </w:rPr>
        <w:t>.</w:t>
      </w:r>
    </w:p>
    <w:p w:rsidR="00EC5205" w:rsidRDefault="00EC5205" w:rsidP="00D436B5">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Em um segundo momento, após o fornecimento do citado </w:t>
      </w:r>
      <w:r w:rsidRPr="00E06624">
        <w:rPr>
          <w:rFonts w:ascii="Times New Roman" w:hAnsi="Times New Roman"/>
          <w:sz w:val="24"/>
          <w:szCs w:val="24"/>
        </w:rPr>
        <w:t>substrato teórico</w:t>
      </w:r>
      <w:r>
        <w:rPr>
          <w:rFonts w:ascii="Times New Roman" w:hAnsi="Times New Roman"/>
          <w:sz w:val="24"/>
          <w:szCs w:val="24"/>
        </w:rPr>
        <w:t>,</w:t>
      </w:r>
      <w:r w:rsidRPr="00E06624">
        <w:rPr>
          <w:rFonts w:ascii="Times New Roman" w:hAnsi="Times New Roman"/>
          <w:sz w:val="24"/>
          <w:szCs w:val="24"/>
        </w:rPr>
        <w:t xml:space="preserve"> analisar-se-á a incorporação da referida violência simbólica</w:t>
      </w:r>
      <w:r>
        <w:rPr>
          <w:rFonts w:ascii="Times New Roman" w:hAnsi="Times New Roman"/>
          <w:sz w:val="24"/>
          <w:szCs w:val="24"/>
        </w:rPr>
        <w:t xml:space="preserve"> e a sob a perspectiva de gênero e raça como o sistema prisional feminino é pautado por questões estruturantes de invisibilidade e exclusão por parte do Poder Público.</w:t>
      </w:r>
    </w:p>
    <w:p w:rsidR="00EC5205" w:rsidRPr="00EC5205" w:rsidRDefault="00EC5205" w:rsidP="00D436B5">
      <w:pPr>
        <w:spacing w:after="0" w:line="360" w:lineRule="auto"/>
        <w:jc w:val="both"/>
        <w:rPr>
          <w:rFonts w:ascii="Times New Roman" w:hAnsi="Times New Roman"/>
          <w:color w:val="FF0000"/>
          <w:sz w:val="24"/>
          <w:szCs w:val="24"/>
        </w:rPr>
      </w:pPr>
      <w:r w:rsidRPr="00EC5205">
        <w:rPr>
          <w:rFonts w:ascii="Times New Roman" w:hAnsi="Times New Roman"/>
          <w:color w:val="FF0000"/>
          <w:sz w:val="24"/>
          <w:szCs w:val="24"/>
        </w:rPr>
        <w:t xml:space="preserve"> </w:t>
      </w:r>
    </w:p>
    <w:p w:rsidR="00660B15" w:rsidRPr="00954669" w:rsidRDefault="00DD4B35" w:rsidP="00D436B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00E06624" w:rsidRPr="00954669">
        <w:rPr>
          <w:rFonts w:ascii="Times New Roman" w:hAnsi="Times New Roman"/>
          <w:b/>
          <w:color w:val="000000" w:themeColor="text1"/>
          <w:sz w:val="24"/>
          <w:szCs w:val="24"/>
        </w:rPr>
        <w:t xml:space="preserve"> A DOMINAÇÃO MASCULINA: DOMINAÇÃO SIMBÓLICA, PODER SIMBÓLICO, VIOLÊNCIA SIMBÓLICA E </w:t>
      </w:r>
      <w:r w:rsidR="00E06624" w:rsidRPr="00954669">
        <w:rPr>
          <w:rFonts w:ascii="Times New Roman" w:hAnsi="Times New Roman"/>
          <w:b/>
          <w:i/>
          <w:color w:val="000000" w:themeColor="text1"/>
          <w:sz w:val="24"/>
          <w:szCs w:val="24"/>
        </w:rPr>
        <w:t>HABITUS</w:t>
      </w:r>
    </w:p>
    <w:p w:rsidR="00660B15" w:rsidRPr="00660B15" w:rsidRDefault="00660B15" w:rsidP="00D436B5">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660B15">
        <w:rPr>
          <w:rFonts w:ascii="Times New Roman" w:hAnsi="Times New Roman"/>
          <w:sz w:val="24"/>
          <w:szCs w:val="24"/>
        </w:rPr>
        <w:t xml:space="preserve">Inicialmente, deve-se apresentar o contexto </w:t>
      </w:r>
      <w:r w:rsidR="000F13D4">
        <w:rPr>
          <w:rFonts w:ascii="Times New Roman" w:hAnsi="Times New Roman"/>
          <w:sz w:val="24"/>
          <w:szCs w:val="24"/>
        </w:rPr>
        <w:t>geral da obra a ser explorada</w:t>
      </w:r>
      <w:r w:rsidR="000F13D4" w:rsidRPr="000F13D4">
        <w:rPr>
          <w:rFonts w:ascii="Times New Roman" w:hAnsi="Times New Roman"/>
          <w:i/>
          <w:sz w:val="24"/>
          <w:szCs w:val="24"/>
        </w:rPr>
        <w:t xml:space="preserve">, </w:t>
      </w:r>
      <w:r w:rsidRPr="000F13D4">
        <w:rPr>
          <w:rFonts w:ascii="Times New Roman" w:hAnsi="Times New Roman"/>
          <w:i/>
          <w:sz w:val="24"/>
          <w:szCs w:val="24"/>
        </w:rPr>
        <w:t>A Dominação Masculina: A condição feminina e a violência simbólica</w:t>
      </w:r>
      <w:r w:rsidRPr="00660B15">
        <w:rPr>
          <w:rFonts w:ascii="Times New Roman" w:hAnsi="Times New Roman"/>
          <w:sz w:val="24"/>
          <w:szCs w:val="24"/>
        </w:rPr>
        <w:t xml:space="preserve">. Escrita pelo citado autor, Pierre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tal obra é comparada a uma análise de laboratório, por analisar, especificamente, uma sociedade de tradição mediterrânea, a </w:t>
      </w:r>
      <w:proofErr w:type="spellStart"/>
      <w:r w:rsidRPr="00660B15">
        <w:rPr>
          <w:rFonts w:ascii="Times New Roman" w:hAnsi="Times New Roman"/>
          <w:sz w:val="24"/>
          <w:szCs w:val="24"/>
        </w:rPr>
        <w:t>Cabília</w:t>
      </w:r>
      <w:proofErr w:type="spellEnd"/>
      <w:r w:rsidRPr="00660B15">
        <w:rPr>
          <w:rFonts w:ascii="Times New Roman" w:hAnsi="Times New Roman"/>
          <w:sz w:val="24"/>
          <w:szCs w:val="24"/>
        </w:rPr>
        <w:t>, através de suas estruturas objetivas e formas cognitivas.</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A referida sociedade é marcada por uma naturalidade em relação à divisão sexual.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comenta que esta divisão aparece como pertencente à “ordem das coisas”, trata-se de algo inevitável, normal, enraizado ao ponto de ser considerado natural. Divisão esta objetivada nas coisas e incorporada nos corpos e nos </w:t>
      </w:r>
      <w:proofErr w:type="spellStart"/>
      <w:r w:rsidRPr="00660B15">
        <w:rPr>
          <w:rFonts w:ascii="Times New Roman" w:hAnsi="Times New Roman"/>
          <w:i/>
          <w:sz w:val="24"/>
          <w:szCs w:val="24"/>
        </w:rPr>
        <w:t>habitus</w:t>
      </w:r>
      <w:proofErr w:type="spellEnd"/>
      <w:r w:rsidRPr="00660B15">
        <w:rPr>
          <w:rFonts w:ascii="Times New Roman" w:hAnsi="Times New Roman"/>
          <w:i/>
          <w:sz w:val="24"/>
          <w:szCs w:val="24"/>
          <w:vertAlign w:val="superscript"/>
        </w:rPr>
        <w:footnoteReference w:id="3"/>
      </w:r>
      <w:r w:rsidRPr="00660B15">
        <w:rPr>
          <w:rFonts w:ascii="Times New Roman" w:hAnsi="Times New Roman"/>
          <w:sz w:val="24"/>
          <w:szCs w:val="24"/>
        </w:rPr>
        <w:t xml:space="preserve"> dos agentes.</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lastRenderedPageBreak/>
        <w:t xml:space="preserve"> </w:t>
      </w:r>
      <w:r w:rsidRPr="00660B15">
        <w:rPr>
          <w:rFonts w:ascii="Times New Roman" w:hAnsi="Times New Roman"/>
          <w:sz w:val="24"/>
          <w:szCs w:val="24"/>
        </w:rPr>
        <w:tab/>
        <w:t xml:space="preserve">A citada tradição da </w:t>
      </w:r>
      <w:proofErr w:type="spellStart"/>
      <w:r w:rsidRPr="00660B15">
        <w:rPr>
          <w:rFonts w:ascii="Times New Roman" w:hAnsi="Times New Roman"/>
          <w:sz w:val="24"/>
          <w:szCs w:val="24"/>
        </w:rPr>
        <w:t>Cabília</w:t>
      </w:r>
      <w:proofErr w:type="spellEnd"/>
      <w:r w:rsidRPr="00660B15">
        <w:rPr>
          <w:rFonts w:ascii="Times New Roman" w:hAnsi="Times New Roman"/>
          <w:sz w:val="24"/>
          <w:szCs w:val="24"/>
        </w:rPr>
        <w:t xml:space="preserve"> é originada de um “mito fundador”, que embasa a citada divisão sexual. O referido mito exerce influência não somente nas relações de trabalho, mas também na ordem social, ultrapassando-a, no sentido de alcançar, nas palavras do autor, uma “ordem cósmica”, uma vez que se torna intrínseco à figura do homem e da mulher.</w:t>
      </w:r>
    </w:p>
    <w:p w:rsidR="000F13D4"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O referido mito conta a história de um encontro de um homem e uma mulher em uma fonte. A mulher aguardava para apanhar um pouco de água, quando um homem chegou e a empurrou. Este seria o primeiro contato entre um homem e uma mulher. Ao ser empurrada, a mulher caiu e com a queda suas coxas ficaram à mostra, sendo observadas pelo homem, que de pronto percebeu que eram diferentes das suas. Trata-se do momento em que a mulher decidiu ensinar ao homem o que era prazer sexual, acariciando seu pênis, até este ficar ereto e atingir o prazer maior. </w:t>
      </w:r>
    </w:p>
    <w:p w:rsidR="00660B15" w:rsidRPr="00660B15" w:rsidRDefault="000F13D4" w:rsidP="00D436B5">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660B15" w:rsidRPr="00660B15">
        <w:rPr>
          <w:rFonts w:ascii="Times New Roman" w:hAnsi="Times New Roman"/>
          <w:sz w:val="24"/>
          <w:szCs w:val="24"/>
        </w:rPr>
        <w:t xml:space="preserve"> A partir do referido fato, o homem começou a seguir a mulher, pois esta era mais sábia que ele. Entretanto, um dia o homem resolveu mostrar à mulher que sabia fazer as </w:t>
      </w:r>
      <w:r>
        <w:rPr>
          <w:rFonts w:ascii="Times New Roman" w:hAnsi="Times New Roman"/>
          <w:sz w:val="24"/>
          <w:szCs w:val="24"/>
        </w:rPr>
        <w:t>“</w:t>
      </w:r>
      <w:r w:rsidR="00660B15" w:rsidRPr="00660B15">
        <w:rPr>
          <w:rFonts w:ascii="Times New Roman" w:hAnsi="Times New Roman"/>
          <w:sz w:val="24"/>
          <w:szCs w:val="24"/>
        </w:rPr>
        <w:t>coisas</w:t>
      </w:r>
      <w:r>
        <w:rPr>
          <w:rFonts w:ascii="Times New Roman" w:hAnsi="Times New Roman"/>
          <w:sz w:val="24"/>
          <w:szCs w:val="24"/>
        </w:rPr>
        <w:t>”</w:t>
      </w:r>
      <w:r w:rsidR="00660B15" w:rsidRPr="00660B15">
        <w:rPr>
          <w:rFonts w:ascii="Times New Roman" w:hAnsi="Times New Roman"/>
          <w:sz w:val="24"/>
          <w:szCs w:val="24"/>
        </w:rPr>
        <w:t xml:space="preserve"> também, foi quando se deitou sobre ela e sentiu o mesmo prazer, mostrando-a que na fonte é ela quem manda, mas na casa ele quem dava as ordens.</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destaca que o referido “mito fundador” institui a chamada “oposição constituinte”, que se trata da oposição entre natureza e cultura. A sexualidade da natureza é exercida na fonte, lugar próprio do feminino, enquanto que a sexualidade da cultura se exerce na casa, lugar eminentemente masculino. À sexualidade da natureza é oposta a sexualidade da cultura, no sentido de domesticação da mulher pelo homem, uma vez que a casa representava o lugar da “natureza cultivada”.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r w:rsidR="000F13D4">
        <w:rPr>
          <w:rFonts w:ascii="Times New Roman" w:hAnsi="Times New Roman"/>
          <w:sz w:val="24"/>
          <w:szCs w:val="24"/>
        </w:rPr>
        <w:t>O</w:t>
      </w:r>
      <w:r w:rsidRPr="00660B15">
        <w:rPr>
          <w:rFonts w:ascii="Times New Roman" w:hAnsi="Times New Roman"/>
          <w:sz w:val="24"/>
          <w:szCs w:val="24"/>
        </w:rPr>
        <w:t xml:space="preserve"> feminino era relacionado à natureza, à selvageria, que deveria ser controlada, podada pela cultura, pelo masculino. Como se a selvageria da mulher precisasse ser domesticada. O lugar do referido controle era exercido em casa, uma vez que este era o espaço próprio do masculino, da subordinação da mulher ao homem.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Pode-se perceber que o referido mito influencia na origem da cultura, entendida como ordem social. Neste sentido, a ordem social foi influenciada pela subordinação do feminino ao masculino, dominada pelo princípio da superioridade masculina.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É a partir do referido mito que a divisão sexual da citada sociedade deriva, no sentido desta pertencer à “ordem das coisas”, dotada de naturalidade.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destaca, neste sentido, que a ordem social legitima a dominação masculina. Assim, pode-se perceber que é o mundo social que constrói a concepção sexuada do corpo, aplicando divisões </w:t>
      </w:r>
      <w:proofErr w:type="spellStart"/>
      <w:r w:rsidRPr="00660B15">
        <w:rPr>
          <w:rFonts w:ascii="Times New Roman" w:hAnsi="Times New Roman"/>
          <w:sz w:val="24"/>
          <w:szCs w:val="24"/>
        </w:rPr>
        <w:t>sexualizantes</w:t>
      </w:r>
      <w:proofErr w:type="spellEnd"/>
      <w:r w:rsidRPr="00660B15">
        <w:rPr>
          <w:rFonts w:ascii="Times New Roman" w:hAnsi="Times New Roman"/>
          <w:sz w:val="24"/>
          <w:szCs w:val="24"/>
        </w:rPr>
        <w:t xml:space="preserve">. Trata-se, portanto, de uma construção das diferenças existentes entre os “sexos biológicos”, embasadas na dominação do masculino sobre o feminino.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lastRenderedPageBreak/>
        <w:t xml:space="preserve"> </w:t>
      </w:r>
      <w:r w:rsidRPr="00660B15">
        <w:rPr>
          <w:rFonts w:ascii="Times New Roman" w:hAnsi="Times New Roman"/>
          <w:sz w:val="24"/>
          <w:szCs w:val="24"/>
        </w:rPr>
        <w:tab/>
        <w:t>Neste contexto, a visão social constrói a divisão anatômica entre homem e mulher, divisão esta considerada aparentemente natural. Tal naturalidade que fundamenta a visão social, que proporciona a ref</w:t>
      </w:r>
      <w:r w:rsidR="000F13D4">
        <w:rPr>
          <w:rFonts w:ascii="Times New Roman" w:hAnsi="Times New Roman"/>
          <w:sz w:val="24"/>
          <w:szCs w:val="24"/>
        </w:rPr>
        <w:t xml:space="preserve">erida naturalidade. Percebe-se </w:t>
      </w:r>
      <w:r w:rsidRPr="00660B15">
        <w:rPr>
          <w:rFonts w:ascii="Times New Roman" w:hAnsi="Times New Roman"/>
          <w:sz w:val="24"/>
          <w:szCs w:val="24"/>
        </w:rPr>
        <w:t xml:space="preserve">a existência de uma retórica quanto ao tema, uma circularidade teórica. Sobre a referida retórica,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destaca que a força da </w:t>
      </w:r>
      <w:proofErr w:type="spellStart"/>
      <w:r w:rsidRPr="00660B15">
        <w:rPr>
          <w:rFonts w:ascii="Times New Roman" w:hAnsi="Times New Roman"/>
          <w:sz w:val="24"/>
          <w:szCs w:val="24"/>
        </w:rPr>
        <w:t>sociodiciea</w:t>
      </w:r>
      <w:proofErr w:type="spellEnd"/>
      <w:r w:rsidRPr="00660B15">
        <w:rPr>
          <w:rFonts w:ascii="Times New Roman" w:hAnsi="Times New Roman"/>
          <w:sz w:val="24"/>
          <w:szCs w:val="24"/>
        </w:rPr>
        <w:t xml:space="preserve"> masculina é originada do </w:t>
      </w:r>
      <w:proofErr w:type="spellStart"/>
      <w:r w:rsidRPr="00660B15">
        <w:rPr>
          <w:rFonts w:ascii="Times New Roman" w:hAnsi="Times New Roman"/>
          <w:sz w:val="24"/>
          <w:szCs w:val="24"/>
        </w:rPr>
        <w:t>condensamento</w:t>
      </w:r>
      <w:proofErr w:type="spellEnd"/>
      <w:r w:rsidRPr="00660B15">
        <w:rPr>
          <w:rFonts w:ascii="Times New Roman" w:hAnsi="Times New Roman"/>
          <w:sz w:val="24"/>
          <w:szCs w:val="24"/>
        </w:rPr>
        <w:t xml:space="preserve">, por esta, de duas operações, quais sejam: “[...] </w:t>
      </w:r>
      <w:r w:rsidRPr="00660B15">
        <w:rPr>
          <w:rFonts w:ascii="Times New Roman" w:hAnsi="Times New Roman"/>
          <w:b/>
          <w:sz w:val="24"/>
          <w:szCs w:val="24"/>
        </w:rPr>
        <w:t>ela legitima uma relação de dominação inscrevendo-a em uma natureza biológica que é, por sua vez, ela própria, uma construção social naturalizada.</w:t>
      </w:r>
      <w:r w:rsidRPr="00660B15">
        <w:rPr>
          <w:rFonts w:ascii="Times New Roman" w:hAnsi="Times New Roman"/>
          <w:sz w:val="24"/>
          <w:szCs w:val="24"/>
        </w:rPr>
        <w:t>” (2014, p. 40, grifo do autor).</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Trata-se de uma construção arbitrária da natureza biológica da referida dominação, que determina a organização simbólica da ordem natural e sexual, fundamentando um caráter natural da concepção </w:t>
      </w:r>
      <w:proofErr w:type="spellStart"/>
      <w:r w:rsidRPr="00660B15">
        <w:rPr>
          <w:rFonts w:ascii="Times New Roman" w:hAnsi="Times New Roman"/>
          <w:sz w:val="24"/>
          <w:szCs w:val="24"/>
        </w:rPr>
        <w:t>androcêntrica</w:t>
      </w:r>
      <w:proofErr w:type="spellEnd"/>
      <w:r w:rsidRPr="00660B15">
        <w:rPr>
          <w:rFonts w:ascii="Times New Roman" w:hAnsi="Times New Roman"/>
          <w:sz w:val="24"/>
          <w:szCs w:val="24"/>
        </w:rPr>
        <w:t xml:space="preserve"> da “divisão de trabalho sexual e da divisão sexual do trabalho e, a partir daí, de todo o cosmos.” (2014, p. 40).</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Portanto, pode-se perceber uma dominação pelo masculino, marcada pela divisão sexual, divisão esta legitimada pela sua natureza biológica, que conforme já ressaltado anteriormente, é uma construção social naturalizada. Com relação à referida dominação masculina, ao seu modo de imposição e à forma que esta é vivenciada,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ressalta a existência de um nítido exemplo daquilo que ele chama de “violência simbólica”.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A dominação masculina como um fenômeno marcado por uma violência simbólica. Neste sentido, partir-se-á à análise da referida violência, através da conceituação e reflexão acerca dos institutos do Poder Simbólico e da Violência Simbólica.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em sua obra </w:t>
      </w:r>
      <w:r w:rsidRPr="000F13D4">
        <w:rPr>
          <w:rFonts w:ascii="Times New Roman" w:hAnsi="Times New Roman"/>
          <w:i/>
          <w:sz w:val="24"/>
          <w:szCs w:val="24"/>
        </w:rPr>
        <w:t>O Poder Simbólico</w:t>
      </w:r>
      <w:r w:rsidRPr="00660B15">
        <w:rPr>
          <w:rFonts w:ascii="Times New Roman" w:hAnsi="Times New Roman"/>
          <w:sz w:val="24"/>
          <w:szCs w:val="24"/>
        </w:rPr>
        <w:t xml:space="preserve">, destaca o referido poder como aquele que se espalha, que está presente em toda parte. Trata-se de um poder invisível, que só pode ser exercido com a aderência dos seus </w:t>
      </w:r>
      <w:proofErr w:type="spellStart"/>
      <w:r w:rsidRPr="00660B15">
        <w:rPr>
          <w:rFonts w:ascii="Times New Roman" w:hAnsi="Times New Roman"/>
          <w:sz w:val="24"/>
          <w:szCs w:val="24"/>
        </w:rPr>
        <w:t>assujeitados</w:t>
      </w:r>
      <w:proofErr w:type="spellEnd"/>
      <w:r w:rsidRPr="00660B15">
        <w:rPr>
          <w:rFonts w:ascii="Times New Roman" w:hAnsi="Times New Roman"/>
          <w:sz w:val="24"/>
          <w:szCs w:val="24"/>
        </w:rPr>
        <w:t>, ou seja, com a cumplicidade daqueles que ignoram a sua sujeição a tal poder ou mesmo o fato de que perpetuam o referido. Trata-se de um poder de construção da realidade (BOURDIEU, 2007).</w:t>
      </w:r>
    </w:p>
    <w:p w:rsidR="000F13D4"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O referido poder simbólico exerce uma dominação que não funciona através da lógica pura das consciências </w:t>
      </w:r>
      <w:proofErr w:type="spellStart"/>
      <w:r w:rsidRPr="00660B15">
        <w:rPr>
          <w:rFonts w:ascii="Times New Roman" w:hAnsi="Times New Roman"/>
          <w:sz w:val="24"/>
          <w:szCs w:val="24"/>
        </w:rPr>
        <w:t>cognoscentes</w:t>
      </w:r>
      <w:proofErr w:type="spellEnd"/>
      <w:r w:rsidRPr="00660B15">
        <w:rPr>
          <w:rFonts w:ascii="Times New Roman" w:hAnsi="Times New Roman"/>
          <w:sz w:val="24"/>
          <w:szCs w:val="24"/>
        </w:rPr>
        <w:t xml:space="preserve">, e sim através dos esquemas de percepção, avaliação e ação, constitutivos do </w:t>
      </w:r>
      <w:proofErr w:type="spellStart"/>
      <w:r w:rsidRPr="00660B15">
        <w:rPr>
          <w:rFonts w:ascii="Times New Roman" w:hAnsi="Times New Roman"/>
          <w:i/>
          <w:sz w:val="24"/>
          <w:szCs w:val="24"/>
        </w:rPr>
        <w:t>habitus</w:t>
      </w:r>
      <w:proofErr w:type="spellEnd"/>
      <w:r w:rsidRPr="00660B15">
        <w:rPr>
          <w:rFonts w:ascii="Times New Roman" w:hAnsi="Times New Roman"/>
          <w:sz w:val="24"/>
          <w:szCs w:val="24"/>
        </w:rPr>
        <w:t xml:space="preserve">, os quais são transmitidos corporalmente, de corpo a corpo. São marcados por atividades inconscientes, aquém dos discursos. Portanto, majoritariamente, os </w:t>
      </w:r>
      <w:proofErr w:type="spellStart"/>
      <w:r w:rsidRPr="00660B15">
        <w:rPr>
          <w:rFonts w:ascii="Times New Roman" w:hAnsi="Times New Roman"/>
          <w:i/>
          <w:sz w:val="24"/>
          <w:szCs w:val="24"/>
        </w:rPr>
        <w:t>habitus</w:t>
      </w:r>
      <w:proofErr w:type="spellEnd"/>
      <w:r w:rsidRPr="00660B15">
        <w:rPr>
          <w:rFonts w:ascii="Times New Roman" w:hAnsi="Times New Roman"/>
          <w:sz w:val="24"/>
          <w:szCs w:val="24"/>
        </w:rPr>
        <w:t xml:space="preserve"> ficam isentos do controle consciente, das correções e transformações. </w:t>
      </w:r>
    </w:p>
    <w:p w:rsidR="00660B15" w:rsidRPr="00660B15" w:rsidRDefault="000F13D4" w:rsidP="00D436B5">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660B15" w:rsidRPr="00660B15">
        <w:rPr>
          <w:rFonts w:ascii="Times New Roman" w:hAnsi="Times New Roman"/>
          <w:sz w:val="24"/>
          <w:szCs w:val="24"/>
        </w:rPr>
        <w:t xml:space="preserve">Como exemplo de tal isenção, </w:t>
      </w:r>
      <w:proofErr w:type="spellStart"/>
      <w:r w:rsidR="00660B15" w:rsidRPr="00660B15">
        <w:rPr>
          <w:rFonts w:ascii="Times New Roman" w:hAnsi="Times New Roman"/>
          <w:sz w:val="24"/>
          <w:szCs w:val="24"/>
        </w:rPr>
        <w:t>Bourdieu</w:t>
      </w:r>
      <w:proofErr w:type="spellEnd"/>
      <w:r w:rsidR="00660B15" w:rsidRPr="00660B15">
        <w:rPr>
          <w:rFonts w:ascii="Times New Roman" w:hAnsi="Times New Roman"/>
          <w:sz w:val="24"/>
          <w:szCs w:val="24"/>
        </w:rPr>
        <w:t xml:space="preserve"> destaca a defasagem entre as declarações e as práticas, citando os homens que se dizem a favor da igualdade entre os sexos, mas que não participam mais dos trabalhos domésticos do que aqueles que não são favoráveis a tal igualdade.</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lastRenderedPageBreak/>
        <w:t xml:space="preserve"> </w:t>
      </w:r>
      <w:r w:rsidRPr="00660B15">
        <w:rPr>
          <w:rFonts w:ascii="Times New Roman" w:hAnsi="Times New Roman"/>
          <w:sz w:val="24"/>
          <w:szCs w:val="24"/>
        </w:rPr>
        <w:tab/>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comenta que o poder simbólico é exercido sobre os corpos de forma direta e, como que por um passe de mágica, sem qualquer tipo de coação física. Entretanto, para tal magia funcionar ela precisa estar baseada em predisposições inseridas em profundidade nos corpos. O referido autor compara tais predisposições a “molas propulsoras”, ao ilustrar a força exercida pelo poder simbólico como um “macaco mecânico”, ou seja, com um gasto pequeno de energia.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Neste sentido, o poder simbólico estaria fundamentado em predisposições intrínsecas aos indivíduos, ou seja, disposições ensejadas por todo um trabalho de inculcação e incorporação realizado nos sujeitos que, em virtude dos referidos trabalhos, foram capturados pelo poder simbólico. Neste contexto, destaca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(2007, p. 60-61): </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Em outros termos, ela encontra suas condições de possibilidade e sua contrapartida econômica (no sentido mais amplo da palavra) no imenso trabalho prévio que é necessário para operar uma transformação duradoura dos corpos e produzir as disposições permanentes que ela desencadeia e desperta: ação transformada ainda mais poderosa por se exercer, nos aspectos mais essenciais, de maneira invisível e insidiosa, através da insensível familiarização com um mundo físico simbolicamente estruturado e da experiência precoce e prolongada de interações permeadas pelas estruturas de dominação.</w:t>
      </w:r>
    </w:p>
    <w:p w:rsidR="00660B15" w:rsidRPr="00660B15" w:rsidRDefault="00660B15" w:rsidP="00D436B5">
      <w:pPr>
        <w:spacing w:after="0" w:line="240" w:lineRule="auto"/>
        <w:jc w:val="both"/>
        <w:rPr>
          <w:rFonts w:ascii="Times New Roman" w:hAnsi="Times New Roman"/>
          <w:sz w:val="24"/>
          <w:szCs w:val="24"/>
        </w:rPr>
      </w:pP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Assim, o poder simbólico está fundamentado em um trabalho prévio, responsável por realizar uma transformação prolongada dos corpos e do cérebro, exercendo-se de maneira invisível e insidiosa.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r w:rsidR="000F13D4">
        <w:rPr>
          <w:rFonts w:ascii="Times New Roman" w:hAnsi="Times New Roman"/>
          <w:sz w:val="24"/>
          <w:szCs w:val="24"/>
        </w:rPr>
        <w:t>A</w:t>
      </w:r>
      <w:r w:rsidRPr="00660B15">
        <w:rPr>
          <w:rFonts w:ascii="Times New Roman" w:hAnsi="Times New Roman"/>
          <w:sz w:val="24"/>
          <w:szCs w:val="24"/>
        </w:rPr>
        <w:t xml:space="preserve">cerca do poder simbólico, pode-se concluir que este só pode se exercer através da colaboração daqueles aos quais ao referido poder estão subordinados, entretanto deve-se ressaltar que só se subordinam a </w:t>
      </w:r>
      <w:r w:rsidR="000F13D4">
        <w:rPr>
          <w:rFonts w:ascii="Times New Roman" w:hAnsi="Times New Roman"/>
          <w:sz w:val="24"/>
          <w:szCs w:val="24"/>
        </w:rPr>
        <w:t>este poder porque o constroem. O</w:t>
      </w:r>
      <w:r w:rsidRPr="00660B15">
        <w:rPr>
          <w:rFonts w:ascii="Times New Roman" w:hAnsi="Times New Roman"/>
          <w:sz w:val="24"/>
          <w:szCs w:val="24"/>
        </w:rPr>
        <w:t xml:space="preserve">u seja, só há subordinação ao poder simbólico porque os subordinados ao mesmo o constroem, a partir das predisposições (BOURDIEU, 2014).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neste contexto, compara os agentes sociais, objetos do poder simbólico, à </w:t>
      </w:r>
      <w:proofErr w:type="spellStart"/>
      <w:r w:rsidRPr="00660B15">
        <w:rPr>
          <w:rFonts w:ascii="Times New Roman" w:hAnsi="Times New Roman"/>
          <w:sz w:val="24"/>
          <w:szCs w:val="24"/>
        </w:rPr>
        <w:t>mônadas</w:t>
      </w:r>
      <w:proofErr w:type="spellEnd"/>
      <w:r w:rsidRPr="00660B15">
        <w:rPr>
          <w:rFonts w:ascii="Times New Roman" w:hAnsi="Times New Roman"/>
          <w:sz w:val="24"/>
          <w:szCs w:val="24"/>
        </w:rPr>
        <w:t xml:space="preserve"> </w:t>
      </w:r>
      <w:proofErr w:type="spellStart"/>
      <w:r w:rsidRPr="00660B15">
        <w:rPr>
          <w:rFonts w:ascii="Times New Roman" w:hAnsi="Times New Roman"/>
          <w:sz w:val="24"/>
          <w:szCs w:val="24"/>
        </w:rPr>
        <w:t>leibnizianas</w:t>
      </w:r>
      <w:proofErr w:type="spellEnd"/>
      <w:r w:rsidRPr="00660B15">
        <w:rPr>
          <w:rFonts w:ascii="Times New Roman" w:hAnsi="Times New Roman"/>
          <w:sz w:val="24"/>
          <w:szCs w:val="24"/>
          <w:vertAlign w:val="superscript"/>
        </w:rPr>
        <w:footnoteReference w:id="4"/>
      </w:r>
      <w:r w:rsidRPr="00660B15">
        <w:rPr>
          <w:rFonts w:ascii="Times New Roman" w:hAnsi="Times New Roman"/>
          <w:sz w:val="24"/>
          <w:szCs w:val="24"/>
        </w:rPr>
        <w:t>, no sentido de destacar a harmonia entre os referidos agentes, que não precisam se comunicar ou mesmo colaborar para estarem de acordo.</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 xml:space="preserve">Os agentes sociais corretamente socializados têm em comum estruturas lógicas, senão idênticas, pelo menos semelhantes, de sorte que eles são como </w:t>
      </w:r>
      <w:proofErr w:type="spellStart"/>
      <w:r w:rsidRPr="00660B15">
        <w:rPr>
          <w:rFonts w:ascii="Times New Roman" w:hAnsi="Times New Roman"/>
          <w:sz w:val="20"/>
          <w:szCs w:val="20"/>
        </w:rPr>
        <w:t>mônadas</w:t>
      </w:r>
      <w:proofErr w:type="spellEnd"/>
      <w:r w:rsidRPr="00660B15">
        <w:rPr>
          <w:rFonts w:ascii="Times New Roman" w:hAnsi="Times New Roman"/>
          <w:sz w:val="20"/>
          <w:szCs w:val="20"/>
        </w:rPr>
        <w:t xml:space="preserve"> </w:t>
      </w:r>
      <w:proofErr w:type="spellStart"/>
      <w:r w:rsidRPr="00660B15">
        <w:rPr>
          <w:rFonts w:ascii="Times New Roman" w:hAnsi="Times New Roman"/>
          <w:sz w:val="20"/>
          <w:szCs w:val="20"/>
        </w:rPr>
        <w:t>leibnizianas</w:t>
      </w:r>
      <w:proofErr w:type="spellEnd"/>
      <w:r w:rsidRPr="00660B15">
        <w:rPr>
          <w:rFonts w:ascii="Times New Roman" w:hAnsi="Times New Roman"/>
          <w:sz w:val="20"/>
          <w:szCs w:val="20"/>
        </w:rPr>
        <w:t xml:space="preserve">, que não precisam necessariamente comunicar e colaborar para estarem de acordo. Os sujeitos sociais são, em certo sentido, </w:t>
      </w:r>
      <w:proofErr w:type="spellStart"/>
      <w:r w:rsidRPr="00660B15">
        <w:rPr>
          <w:rFonts w:ascii="Times New Roman" w:hAnsi="Times New Roman"/>
          <w:sz w:val="20"/>
          <w:szCs w:val="20"/>
        </w:rPr>
        <w:t>mônadas</w:t>
      </w:r>
      <w:proofErr w:type="spellEnd"/>
      <w:r w:rsidRPr="00660B15">
        <w:rPr>
          <w:rFonts w:ascii="Times New Roman" w:hAnsi="Times New Roman"/>
          <w:sz w:val="20"/>
          <w:szCs w:val="20"/>
        </w:rPr>
        <w:t xml:space="preserve"> </w:t>
      </w:r>
      <w:proofErr w:type="spellStart"/>
      <w:r w:rsidRPr="00660B15">
        <w:rPr>
          <w:rFonts w:ascii="Times New Roman" w:hAnsi="Times New Roman"/>
          <w:sz w:val="20"/>
          <w:szCs w:val="20"/>
        </w:rPr>
        <w:t>leibnizianas</w:t>
      </w:r>
      <w:proofErr w:type="spellEnd"/>
      <w:r w:rsidRPr="00660B15">
        <w:rPr>
          <w:rFonts w:ascii="Times New Roman" w:hAnsi="Times New Roman"/>
          <w:sz w:val="20"/>
          <w:szCs w:val="20"/>
        </w:rPr>
        <w:t>. (2014b, p. 229)</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 xml:space="preserve">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Por sua vez, intimamente relacionada ao instituto da dominação simbólica, a violência simbólica consiste no meio de exercício do poder simbólico. Trata-se da utilização do poder </w:t>
      </w:r>
      <w:r w:rsidRPr="00660B15">
        <w:rPr>
          <w:rFonts w:ascii="Times New Roman" w:hAnsi="Times New Roman"/>
          <w:sz w:val="24"/>
          <w:szCs w:val="24"/>
        </w:rPr>
        <w:lastRenderedPageBreak/>
        <w:t xml:space="preserve">simbólico por uma classe com fins de dominar outra. Neste sentido, destaca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(2007, p. 11, grifo nosso):</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 xml:space="preserve">É enquanto instrumentos estruturados e estruturantes de comunicação e de conhecimento que os sistemas simbólicos cumprem a sua função política de instrumentos de imposição ou de legitimação da dominação, que contribuem para assegurar a dominação de uma classe sobre outra </w:t>
      </w:r>
      <w:r w:rsidRPr="00660B15">
        <w:rPr>
          <w:rFonts w:ascii="Times New Roman" w:hAnsi="Times New Roman"/>
          <w:b/>
          <w:sz w:val="20"/>
          <w:szCs w:val="20"/>
        </w:rPr>
        <w:t>(violência simbólica)</w:t>
      </w:r>
      <w:r w:rsidRPr="00660B15">
        <w:rPr>
          <w:rFonts w:ascii="Times New Roman" w:hAnsi="Times New Roman"/>
          <w:sz w:val="20"/>
          <w:szCs w:val="20"/>
        </w:rPr>
        <w:t xml:space="preserve"> dando o reforço da sua própria força às relações de força que as fundamentam e contribuindo assim, segundo a expressão de Weber, para a domesticação dos dominados.</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 xml:space="preserve">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No presente contexto, a referida concepção de classe é substituída pela noção do masculino, pela sobreposição do masculino sobre o feminino. Tem-se, portanto, uma dominação do masculino, uma dominação masculina, exercida através de uma violência simbólica.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Nos moldes do poder simbólico, a violência simbólica é exercida de forma invisível, sutil, insensível, às suas vítimas, através de vias simbólicas de conhecimento e comunicação, ou melhor, do desconhecimento, reconhecimento e sentimento.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Quanto ao conceito de violência simbólica,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faz uma ressalva no sentido de que esta é entendida, supostamente, como oposta à violência física, real, efetiva; supondo-se </w:t>
      </w:r>
      <w:r w:rsidR="00786CF9">
        <w:rPr>
          <w:rFonts w:ascii="Times New Roman" w:hAnsi="Times New Roman"/>
          <w:sz w:val="24"/>
          <w:szCs w:val="24"/>
        </w:rPr>
        <w:t>que violência simbólica, consequ</w:t>
      </w:r>
      <w:r w:rsidRPr="00660B15">
        <w:rPr>
          <w:rFonts w:ascii="Times New Roman" w:hAnsi="Times New Roman"/>
          <w:sz w:val="24"/>
          <w:szCs w:val="24"/>
        </w:rPr>
        <w:t xml:space="preserve">entemente, seria uma violência “espiritual”, desprovida de efeitos reais. O referido autor comenta que tal distinção é demasiadamente simplista e apresenta impropriedades, uma vez que a referida violência é objetivada nas coisas e incorporada nos corpos e nos </w:t>
      </w:r>
      <w:proofErr w:type="spellStart"/>
      <w:r w:rsidRPr="00660B15">
        <w:rPr>
          <w:rFonts w:ascii="Times New Roman" w:hAnsi="Times New Roman"/>
          <w:i/>
          <w:sz w:val="24"/>
          <w:szCs w:val="24"/>
        </w:rPr>
        <w:t>habitus</w:t>
      </w:r>
      <w:proofErr w:type="spellEnd"/>
      <w:r w:rsidRPr="00660B15">
        <w:rPr>
          <w:rFonts w:ascii="Times New Roman" w:hAnsi="Times New Roman"/>
          <w:sz w:val="24"/>
          <w:szCs w:val="24"/>
        </w:rPr>
        <w:t xml:space="preserve"> dos agentes, portanto o atributo “espiritual” não é suficiente para representá-la.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O filósofo </w:t>
      </w:r>
      <w:proofErr w:type="spellStart"/>
      <w:r w:rsidRPr="00660B15">
        <w:rPr>
          <w:rFonts w:ascii="Times New Roman" w:hAnsi="Times New Roman"/>
          <w:sz w:val="24"/>
          <w:szCs w:val="24"/>
        </w:rPr>
        <w:t>Slavoj</w:t>
      </w:r>
      <w:proofErr w:type="spellEnd"/>
      <w:r w:rsidRPr="00660B15">
        <w:rPr>
          <w:rFonts w:ascii="Times New Roman" w:hAnsi="Times New Roman"/>
          <w:sz w:val="24"/>
          <w:szCs w:val="24"/>
        </w:rPr>
        <w:t xml:space="preserve"> </w:t>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comenta a referida vi</w:t>
      </w:r>
      <w:r w:rsidR="000F13D4">
        <w:rPr>
          <w:rFonts w:ascii="Times New Roman" w:hAnsi="Times New Roman"/>
          <w:sz w:val="24"/>
          <w:szCs w:val="24"/>
        </w:rPr>
        <w:t xml:space="preserve">olência simbólica, em sua obra </w:t>
      </w:r>
      <w:r w:rsidRPr="000F13D4">
        <w:rPr>
          <w:rFonts w:ascii="Times New Roman" w:hAnsi="Times New Roman"/>
          <w:i/>
          <w:sz w:val="24"/>
          <w:szCs w:val="24"/>
        </w:rPr>
        <w:t>Vio</w:t>
      </w:r>
      <w:r w:rsidR="000F13D4" w:rsidRPr="000F13D4">
        <w:rPr>
          <w:rFonts w:ascii="Times New Roman" w:hAnsi="Times New Roman"/>
          <w:i/>
          <w:sz w:val="24"/>
          <w:szCs w:val="24"/>
        </w:rPr>
        <w:t>lência: seis reflexões laterais</w:t>
      </w:r>
      <w:r w:rsidRPr="00660B15">
        <w:rPr>
          <w:rFonts w:ascii="Times New Roman" w:hAnsi="Times New Roman"/>
          <w:sz w:val="24"/>
          <w:szCs w:val="24"/>
        </w:rPr>
        <w:t>. O referido autor sustenta que é a “violência subjetiva”, a evidente e visível, que é a mais conhecida e que possui um maior destaque, representada por atos criminosos e de terror. Entretanto, para o referido autor, é necessário dar “um passo para trás”, no sentido de nos desvencilharmos do referido “engodo”, referindo-se à “violência subjetiva”, que é exercida por um agente claramente identificável.</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Para o filósofo, é necessária a percepção do cenário subjacente que conduz às referidas explosões, explosões no sentido de manifestações da violência visível, do terror. </w:t>
      </w:r>
      <w:r w:rsidR="00A965F7">
        <w:rPr>
          <w:rFonts w:ascii="Times New Roman" w:hAnsi="Times New Roman"/>
          <w:sz w:val="24"/>
          <w:szCs w:val="24"/>
        </w:rPr>
        <w:t>A</w:t>
      </w:r>
      <w:r w:rsidRPr="00660B15">
        <w:rPr>
          <w:rFonts w:ascii="Times New Roman" w:hAnsi="Times New Roman"/>
          <w:sz w:val="24"/>
          <w:szCs w:val="24"/>
        </w:rPr>
        <w:t xml:space="preserve"> “violência subjetiva” apenas seria uma explosão, uma expressão, propiciada por um cenário subjacente de violência. Uma violência invisível, suave.  Trata-se do que ele chama de “violência objetiva”, que é composta por duas subespécies, a violência simbólica e a violência sistêmica.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 A primeira, violência simbólica, para o autor, está ligada à linguagem e suas formas, que não está apenas nos casos evidentes e disseminados de dominação social que os discursos habitualmente reproduzem, inclui-se, também, uma forma mais fundamental de violência, </w:t>
      </w:r>
      <w:r w:rsidRPr="00660B15">
        <w:rPr>
          <w:rFonts w:ascii="Times New Roman" w:hAnsi="Times New Roman"/>
          <w:sz w:val="24"/>
          <w:szCs w:val="24"/>
        </w:rPr>
        <w:lastRenderedPageBreak/>
        <w:t xml:space="preserve">pertencente à linguagem, ao império de um universo de sentido. A segunda, a violência sistêmica, está relacionada às </w:t>
      </w:r>
      <w:r w:rsidR="00A965F7" w:rsidRPr="00660B15">
        <w:rPr>
          <w:rFonts w:ascii="Times New Roman" w:hAnsi="Times New Roman"/>
          <w:sz w:val="24"/>
          <w:szCs w:val="24"/>
        </w:rPr>
        <w:t>consequências</w:t>
      </w:r>
      <w:r w:rsidRPr="00660B15">
        <w:rPr>
          <w:rFonts w:ascii="Times New Roman" w:hAnsi="Times New Roman"/>
          <w:sz w:val="24"/>
          <w:szCs w:val="24"/>
        </w:rPr>
        <w:t xml:space="preserve">, geralmente negativas, do sistema econômico e político.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destaca que a “violência subjetiva” e a “objetiva” não podem ser verificadas do mesmo ponto de vista, uma vez que enquanto a “violência subjetiva” pode ser vista nitidamente, a “objetiva” aparece como se não houvesse violência, o que o referido autor chama de “grau zero de não violência”. O Estado de coisas marcado pela normalidade e pacificidade é desequilibrado pela perturbação originada da “violência subjetiva”, enquanto que a “objetiva” é intrínseca à referida normalidade e pacificidade do estado das coisas. A violência simbólica sustenta a referida normalidade, a normalidade do “nível zero de não violência”, a partir da qual se pode perceber a manifestação da “violência subjetiva”.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O autor emite uma crítica em relação à ênfase dada à “violência subjetiva”, em face da “violência objetiva”, no sentido de a referida ênfase estaria ligada a uma tentativa de deslocamento de atenções do lugar do problema, que seria a “violência objetiva”. Nas palavras de </w:t>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(2014, </w:t>
      </w:r>
      <w:proofErr w:type="spellStart"/>
      <w:r w:rsidRPr="00660B15">
        <w:rPr>
          <w:rFonts w:ascii="Times New Roman" w:hAnsi="Times New Roman"/>
          <w:sz w:val="24"/>
          <w:szCs w:val="24"/>
        </w:rPr>
        <w:t>n.p</w:t>
      </w:r>
      <w:proofErr w:type="spellEnd"/>
      <w:r w:rsidRPr="00660B15">
        <w:rPr>
          <w:rFonts w:ascii="Times New Roman" w:hAnsi="Times New Roman"/>
          <w:sz w:val="24"/>
          <w:szCs w:val="24"/>
        </w:rPr>
        <w:t xml:space="preserve">): </w:t>
      </w:r>
    </w:p>
    <w:p w:rsidR="00660B15" w:rsidRPr="00660B15" w:rsidRDefault="00660B15" w:rsidP="00D436B5">
      <w:pPr>
        <w:spacing w:after="0" w:line="240" w:lineRule="auto"/>
        <w:ind w:left="2268"/>
        <w:jc w:val="both"/>
        <w:rPr>
          <w:rFonts w:ascii="Times New Roman" w:hAnsi="Times New Roman"/>
          <w:sz w:val="20"/>
          <w:szCs w:val="20"/>
        </w:rPr>
      </w:pPr>
      <w:r w:rsidRPr="00660B15">
        <w:rPr>
          <w:rFonts w:ascii="Times New Roman" w:hAnsi="Times New Roman"/>
          <w:sz w:val="20"/>
          <w:szCs w:val="20"/>
        </w:rPr>
        <w:t xml:space="preserve">Não haveria algo de suspeito, até mesmo sintomático, nesse foco sobre a violência subjetiva, a violência dos agentes sociais, indivíduos maléficos, aparelhos repressivos disciplinados, das multidões fanáticas? Não haveria aqui uma tentativa desesperada de desviar as atenções do verdadeiro lugar do problema, uma tentativa que, ao obliterar a percepção de outras formas de violência, se torne assim parte ativa delas? </w:t>
      </w:r>
    </w:p>
    <w:p w:rsidR="00660B15" w:rsidRPr="00660B15" w:rsidRDefault="00660B15" w:rsidP="00D436B5">
      <w:pPr>
        <w:spacing w:after="0" w:line="360" w:lineRule="auto"/>
        <w:jc w:val="both"/>
        <w:rPr>
          <w:rFonts w:ascii="Times New Roman" w:hAnsi="Times New Roman"/>
          <w:sz w:val="20"/>
          <w:szCs w:val="20"/>
        </w:rPr>
      </w:pPr>
      <w:r w:rsidRPr="00660B15">
        <w:rPr>
          <w:rFonts w:ascii="Times New Roman" w:hAnsi="Times New Roman"/>
          <w:sz w:val="20"/>
          <w:szCs w:val="20"/>
        </w:rPr>
        <w:t xml:space="preserve"> </w:t>
      </w:r>
      <w:r w:rsidRPr="00660B15">
        <w:rPr>
          <w:rFonts w:ascii="Times New Roman" w:hAnsi="Times New Roman"/>
          <w:sz w:val="20"/>
          <w:szCs w:val="20"/>
        </w:rPr>
        <w:tab/>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0"/>
          <w:szCs w:val="20"/>
        </w:rPr>
        <w:t xml:space="preserve"> </w:t>
      </w:r>
      <w:r w:rsidRPr="00660B15">
        <w:rPr>
          <w:rFonts w:ascii="Times New Roman" w:hAnsi="Times New Roman"/>
          <w:sz w:val="20"/>
          <w:szCs w:val="20"/>
        </w:rPr>
        <w:tab/>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ressalta que com o destaque dado à violência subjetiva, o objetivo é “mudar de assunto”, tirar a atenção dos outros dois tipos de violência (simbólica e sistêmica), destacando apenas uma, a “violência subjetiva”. A tarefa é resistir ao fascínio da referida violência, a fim de considerar a existência de uma estrutura complexa de interesses e fatores, atravessada pelos três tipos de violência.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A citada teoria desenvolvida por </w:t>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vai ser a base para uma posterior crítica feita pelo mesmo aos comunistas liberais, para os quais há problemas relevantes a serem resolvidos, como um dos que o referido autor cita: a fome na África. Entretanto, a crítica é que são eles os responsáveis pelos referidos males causados, almejando resolver tais problemas apenas para que suas vidas tenham um profundo sentido. Nas palavras do autor: “Do mesmo modo, os comunistas liberais de hoje em dia dão com uma das mãos o que </w:t>
      </w:r>
      <w:proofErr w:type="gramStart"/>
      <w:r w:rsidRPr="00660B15">
        <w:rPr>
          <w:rFonts w:ascii="Times New Roman" w:hAnsi="Times New Roman"/>
          <w:sz w:val="24"/>
          <w:szCs w:val="24"/>
        </w:rPr>
        <w:t>o primeiro agarraram</w:t>
      </w:r>
      <w:proofErr w:type="gramEnd"/>
      <w:r w:rsidRPr="00660B15">
        <w:rPr>
          <w:rFonts w:ascii="Times New Roman" w:hAnsi="Times New Roman"/>
          <w:sz w:val="24"/>
          <w:szCs w:val="24"/>
        </w:rPr>
        <w:t xml:space="preserve"> com a outra” (2014, </w:t>
      </w:r>
      <w:proofErr w:type="spellStart"/>
      <w:r w:rsidRPr="00660B15">
        <w:rPr>
          <w:rFonts w:ascii="Times New Roman" w:hAnsi="Times New Roman"/>
          <w:sz w:val="24"/>
          <w:szCs w:val="24"/>
        </w:rPr>
        <w:t>n.p</w:t>
      </w:r>
      <w:proofErr w:type="spellEnd"/>
      <w:r w:rsidRPr="00660B15">
        <w:rPr>
          <w:rFonts w:ascii="Times New Roman" w:hAnsi="Times New Roman"/>
          <w:sz w:val="24"/>
          <w:szCs w:val="24"/>
        </w:rPr>
        <w:t>).</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Neste contexto, </w:t>
      </w:r>
      <w:proofErr w:type="spellStart"/>
      <w:r w:rsidRPr="00660B15">
        <w:rPr>
          <w:rFonts w:ascii="Times New Roman" w:hAnsi="Times New Roman"/>
          <w:sz w:val="24"/>
          <w:szCs w:val="24"/>
        </w:rPr>
        <w:t>Žižek</w:t>
      </w:r>
      <w:proofErr w:type="spellEnd"/>
      <w:r w:rsidRPr="00660B15">
        <w:rPr>
          <w:rFonts w:ascii="Times New Roman" w:hAnsi="Times New Roman"/>
          <w:sz w:val="24"/>
          <w:szCs w:val="24"/>
        </w:rPr>
        <w:t xml:space="preserve"> destaca a necessária percepção dos variados tipos de violência, e não apenas da violência mais visível, mais fácil de enxergar pelos violentados. Deve-se </w:t>
      </w:r>
      <w:r w:rsidRPr="00660B15">
        <w:rPr>
          <w:rFonts w:ascii="Times New Roman" w:hAnsi="Times New Roman"/>
          <w:sz w:val="24"/>
          <w:szCs w:val="24"/>
        </w:rPr>
        <w:lastRenderedPageBreak/>
        <w:t xml:space="preserve">atentar para a estrutura complexa de violência, que é formada pela referida violência visível, mas também, e principalmente, por violências sutis, “objetivas”, que ensejam uma manifestação violenta, a violência “subjetiva”. Neste sentido, destaca-se a importância analítica da violência sutil, simbólica, violência esta que, para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é o meio de exercício da dominação masculina.</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Para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a dominação masculina está baseada no caráter objetivo das estruturas sociais e das atividades (</w:t>
      </w:r>
      <w:proofErr w:type="spellStart"/>
      <w:r w:rsidRPr="00660B15">
        <w:rPr>
          <w:rFonts w:ascii="Times New Roman" w:hAnsi="Times New Roman"/>
          <w:sz w:val="24"/>
          <w:szCs w:val="24"/>
        </w:rPr>
        <w:t>re</w:t>
      </w:r>
      <w:proofErr w:type="spellEnd"/>
      <w:r w:rsidRPr="00660B15">
        <w:rPr>
          <w:rFonts w:ascii="Times New Roman" w:hAnsi="Times New Roman"/>
          <w:sz w:val="24"/>
          <w:szCs w:val="24"/>
        </w:rPr>
        <w:t xml:space="preserve">) produtivas, ambas embasadas na divisão sexual do trabalho produtivo e reprodutivo biológico e social; e nos esquemas próprios aos </w:t>
      </w:r>
      <w:proofErr w:type="spellStart"/>
      <w:r w:rsidRPr="00660B15">
        <w:rPr>
          <w:rFonts w:ascii="Times New Roman" w:hAnsi="Times New Roman"/>
          <w:i/>
          <w:sz w:val="24"/>
          <w:szCs w:val="24"/>
        </w:rPr>
        <w:t>habitus</w:t>
      </w:r>
      <w:proofErr w:type="spellEnd"/>
      <w:r w:rsidRPr="00660B15">
        <w:rPr>
          <w:rFonts w:ascii="Times New Roman" w:hAnsi="Times New Roman"/>
          <w:sz w:val="24"/>
          <w:szCs w:val="24"/>
        </w:rPr>
        <w:t xml:space="preserve">. Quanto aos últimos, estes são moldados pelas referidas condições, funcionando como matrizes das percepções, dos pensamentos e das ações de todos os indivíduos do corpo social, partilhados universalmente e se impondo como transcendentes.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Assim como já se analisou no poder simbólico, a violência simbólica é marcada, também, pela aderência dos dominados aos dominantes, proporcionada pela falta de disposição para refletir sobre a dominação, tampouco sobre a relação dominante – dominado, uma vez que não possuem instrumentos de conhecimento que não estejam mergulhados na realidade criada pela dominação, o que os fazem achá-la natural, dotada de naturalidade. </w:t>
      </w: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Percebe-se, desta forma, que a referida dominação afeta o indivíduo em sua profundidade, ao ponto que este não consegue refletir, pensar, fora do campo de dominação a ele imposto. </w:t>
      </w:r>
      <w:r w:rsidR="00A965F7">
        <w:rPr>
          <w:rFonts w:ascii="Times New Roman" w:hAnsi="Times New Roman"/>
          <w:sz w:val="24"/>
          <w:szCs w:val="24"/>
        </w:rPr>
        <w:t>O</w:t>
      </w:r>
      <w:r w:rsidRPr="00660B15">
        <w:rPr>
          <w:rFonts w:ascii="Times New Roman" w:hAnsi="Times New Roman"/>
          <w:sz w:val="24"/>
          <w:szCs w:val="24"/>
        </w:rPr>
        <w:t xml:space="preserve"> trabalho de construção simbólica estará completo e realizado quando ocasionar uma “transformação profunda e duradoura dos corpos (e dos cérebros)”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2014, p. 40).  Assim, percebe-se que a referida construção simbólica tem como objetivo impor uma forma de pensamento, de percepção do corpo, uma visão marcada pela superioridade masculina, visando naturalizar esse viés de pensamento através de uma máscara, a naturalização biológica.</w:t>
      </w:r>
    </w:p>
    <w:p w:rsid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A referida transformação profunda e duradoura realizada sobre os corpos e sobre os cérebros do corpo social tende a excluir do pensável e do factível tudo aquilo que possua características de pertencer a outro gênero, a fim de produzir dois modelos: homem viril e mulher feminina, que não são provenientes da natureza, mas da soma das relações sociais próprias da dominação. Trata-se de dois padrões produzidos a serem seguidos, sendo que aquele que não os seguirem será excluído, considerado anormal.</w:t>
      </w:r>
    </w:p>
    <w:p w:rsidR="00E17A0D" w:rsidRPr="00954669" w:rsidRDefault="00E17A0D" w:rsidP="00E17A0D">
      <w:pPr>
        <w:pStyle w:val="PargrafodaLista"/>
        <w:spacing w:after="0" w:line="360" w:lineRule="auto"/>
        <w:ind w:left="0" w:firstLine="708"/>
        <w:jc w:val="both"/>
        <w:rPr>
          <w:rFonts w:ascii="Times New Roman" w:hAnsi="Times New Roman"/>
          <w:color w:val="000000" w:themeColor="text1"/>
          <w:sz w:val="24"/>
          <w:szCs w:val="24"/>
        </w:rPr>
      </w:pPr>
      <w:r w:rsidRPr="00954669">
        <w:rPr>
          <w:rFonts w:ascii="Times New Roman" w:hAnsi="Times New Roman"/>
          <w:color w:val="000000" w:themeColor="text1"/>
          <w:sz w:val="24"/>
          <w:szCs w:val="24"/>
        </w:rPr>
        <w:t xml:space="preserve">Traçando essa lógica com o sistema prisional, destaca-se que uma corrente de estudos feministas afirmou que as mulheres eram punidas mais severamente perante a justiça criminal, justamente pela discriminação de gênero que levava juízes a acreditar na discrepância entre a conduta de mulheres criminosas e a conduta esperada por mulheres era maior do que em </w:t>
      </w:r>
      <w:r w:rsidRPr="00954669">
        <w:rPr>
          <w:rFonts w:ascii="Times New Roman" w:hAnsi="Times New Roman"/>
          <w:color w:val="000000" w:themeColor="text1"/>
          <w:sz w:val="24"/>
          <w:szCs w:val="24"/>
        </w:rPr>
        <w:lastRenderedPageBreak/>
        <w:t>relação aos homens, dessa forma eram punidas duplamente por terem cometido um crime e por transgredirem o comportamento esperado por elas (ISHIY, 2014).</w:t>
      </w:r>
    </w:p>
    <w:p w:rsidR="009E72DC" w:rsidRDefault="009E72DC" w:rsidP="009E72DC">
      <w:pPr>
        <w:spacing w:after="0" w:line="360" w:lineRule="auto"/>
        <w:ind w:firstLine="708"/>
        <w:contextualSpacing/>
        <w:jc w:val="both"/>
        <w:rPr>
          <w:rFonts w:ascii="Times New Roman" w:hAnsi="Times New Roman"/>
          <w:sz w:val="24"/>
          <w:szCs w:val="24"/>
        </w:rPr>
      </w:pPr>
      <w:r>
        <w:rPr>
          <w:rFonts w:ascii="Times New Roman" w:hAnsi="Times New Roman"/>
          <w:sz w:val="24"/>
          <w:szCs w:val="24"/>
        </w:rPr>
        <w:t>Dessa forma, fica evidente que a transversalidade de gênero nas políticas públicas tem papel fundamental de orientar novas visões para a superação das desigualdades de gênero, inclusive, no sistema prisional.</w:t>
      </w:r>
      <w:r>
        <w:rPr>
          <w:rFonts w:ascii="Times New Roman" w:hAnsi="Times New Roman"/>
          <w:sz w:val="24"/>
          <w:szCs w:val="24"/>
        </w:rPr>
        <w:tab/>
      </w:r>
    </w:p>
    <w:p w:rsidR="009E72DC" w:rsidRDefault="009E72DC" w:rsidP="009E72DC">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Assim, </w:t>
      </w:r>
      <w:proofErr w:type="spellStart"/>
      <w:r>
        <w:rPr>
          <w:rFonts w:ascii="Times New Roman" w:hAnsi="Times New Roman"/>
          <w:sz w:val="24"/>
          <w:szCs w:val="24"/>
        </w:rPr>
        <w:t>Wiecko</w:t>
      </w:r>
      <w:proofErr w:type="spellEnd"/>
      <w:r>
        <w:rPr>
          <w:rFonts w:ascii="Times New Roman" w:hAnsi="Times New Roman"/>
          <w:sz w:val="24"/>
          <w:szCs w:val="24"/>
        </w:rPr>
        <w:t xml:space="preserve"> e Campos afirmam (2018, p. 6): </w:t>
      </w:r>
    </w:p>
    <w:p w:rsidR="00660B15" w:rsidRDefault="009E72DC" w:rsidP="00954669">
      <w:pPr>
        <w:spacing w:after="0" w:line="240" w:lineRule="auto"/>
        <w:ind w:left="2268"/>
        <w:contextualSpacing/>
        <w:jc w:val="both"/>
        <w:rPr>
          <w:rFonts w:ascii="Times New Roman" w:hAnsi="Times New Roman"/>
        </w:rPr>
      </w:pPr>
      <w:r w:rsidRPr="00B80C1E">
        <w:rPr>
          <w:rFonts w:ascii="Times New Roman" w:hAnsi="Times New Roman"/>
        </w:rPr>
        <w:t xml:space="preserve">A transversalidade do gênero deve perpassar todo o sistema de justiça. Valemo-nos, aqui, do conceito de Maria Tereza </w:t>
      </w:r>
      <w:proofErr w:type="spellStart"/>
      <w:r w:rsidRPr="00B80C1E">
        <w:rPr>
          <w:rFonts w:ascii="Times New Roman" w:hAnsi="Times New Roman"/>
        </w:rPr>
        <w:t>Sadek</w:t>
      </w:r>
      <w:proofErr w:type="spellEnd"/>
      <w:r w:rsidRPr="00B80C1E">
        <w:rPr>
          <w:rFonts w:ascii="Times New Roman" w:hAnsi="Times New Roman"/>
        </w:rPr>
        <w:t xml:space="preserve"> (2010, p. 9), segundo o qual é mais amplo que o do Poder Judiciário. O sistema de justiça envolve diferentes agentes: os(as) juízes(as) de todos os graus de jurisdição; o(a) advogado(a) público(a) ou privado(a), o(a) defensor(a) público(a); os(as) funcionários(as) da justiça; peritos(as); os membros do Ministério Público; o(a) delegado(a) de polícia; e os agentes policiais, funcionários(as) da execução penal.</w:t>
      </w:r>
    </w:p>
    <w:p w:rsidR="00954669" w:rsidRPr="00954669" w:rsidRDefault="00954669" w:rsidP="00954669">
      <w:pPr>
        <w:spacing w:after="0" w:line="240" w:lineRule="auto"/>
        <w:ind w:left="2268"/>
        <w:contextualSpacing/>
        <w:jc w:val="both"/>
        <w:rPr>
          <w:rFonts w:ascii="Times New Roman" w:hAnsi="Times New Roman"/>
        </w:rPr>
      </w:pPr>
    </w:p>
    <w:p w:rsidR="00660B15" w:rsidRPr="00660B15"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A partir destas concepções, pode-se sustentar que a dominação masculina se exerce através de uma violência simbólica, que limita as atividades de subversão por parte dos dominados. </w:t>
      </w:r>
      <w:proofErr w:type="spellStart"/>
      <w:r w:rsidRPr="00660B15">
        <w:rPr>
          <w:rFonts w:ascii="Times New Roman" w:hAnsi="Times New Roman"/>
          <w:sz w:val="24"/>
          <w:szCs w:val="24"/>
        </w:rPr>
        <w:t>Bourdieu</w:t>
      </w:r>
      <w:proofErr w:type="spellEnd"/>
      <w:r w:rsidRPr="00660B15">
        <w:rPr>
          <w:rFonts w:ascii="Times New Roman" w:hAnsi="Times New Roman"/>
          <w:sz w:val="24"/>
          <w:szCs w:val="24"/>
        </w:rPr>
        <w:t xml:space="preserve"> destaca que as estratégias simbólicas utilizadas pelas mulheres contra os homens permanecem dominadas, uma vez que estão pautadas na concepção </w:t>
      </w:r>
      <w:proofErr w:type="spellStart"/>
      <w:r w:rsidRPr="00660B15">
        <w:rPr>
          <w:rFonts w:ascii="Times New Roman" w:hAnsi="Times New Roman"/>
          <w:sz w:val="24"/>
          <w:szCs w:val="24"/>
        </w:rPr>
        <w:t>androcêntrica</w:t>
      </w:r>
      <w:proofErr w:type="spellEnd"/>
      <w:r w:rsidRPr="00660B15">
        <w:rPr>
          <w:rFonts w:ascii="Times New Roman" w:hAnsi="Times New Roman"/>
          <w:sz w:val="24"/>
          <w:szCs w:val="24"/>
        </w:rPr>
        <w:t xml:space="preserve">. Trata-se de estratégias insuficientes para subverter a referida estrutura de dominação masculina, acabando por ratificar a situação de inferioridade imposta às mulheres.   </w:t>
      </w:r>
    </w:p>
    <w:p w:rsidR="009E72DC" w:rsidRDefault="00660B15" w:rsidP="00D436B5">
      <w:pPr>
        <w:spacing w:after="0" w:line="360" w:lineRule="auto"/>
        <w:jc w:val="both"/>
        <w:rPr>
          <w:rFonts w:ascii="Times New Roman" w:hAnsi="Times New Roman"/>
          <w:sz w:val="24"/>
          <w:szCs w:val="24"/>
        </w:rPr>
      </w:pPr>
      <w:r w:rsidRPr="00660B15">
        <w:rPr>
          <w:rFonts w:ascii="Times New Roman" w:hAnsi="Times New Roman"/>
          <w:sz w:val="24"/>
          <w:szCs w:val="24"/>
        </w:rPr>
        <w:t xml:space="preserve"> </w:t>
      </w:r>
      <w:r w:rsidRPr="00660B15">
        <w:rPr>
          <w:rFonts w:ascii="Times New Roman" w:hAnsi="Times New Roman"/>
          <w:sz w:val="24"/>
          <w:szCs w:val="24"/>
        </w:rPr>
        <w:tab/>
        <w:t xml:space="preserve">Neste sentido, o preconceito contra o feminino é incorporado nos corpos e objetivado nas coisas, o que faz com que as mulheres ratifiquem tal preconceito, ou seja, que estas cometam atos de reconhecimento, de adesão à </w:t>
      </w:r>
      <w:proofErr w:type="spellStart"/>
      <w:r w:rsidRPr="00660B15">
        <w:rPr>
          <w:rFonts w:ascii="Times New Roman" w:hAnsi="Times New Roman"/>
          <w:sz w:val="24"/>
          <w:szCs w:val="24"/>
        </w:rPr>
        <w:t>doxa</w:t>
      </w:r>
      <w:proofErr w:type="spellEnd"/>
      <w:r w:rsidRPr="00660B15">
        <w:rPr>
          <w:rFonts w:ascii="Times New Roman" w:hAnsi="Times New Roman"/>
          <w:sz w:val="24"/>
          <w:szCs w:val="24"/>
        </w:rPr>
        <w:t>. Trata-se de uma crença impensada, que constrói a violência simbólica sofrida por elas próprias.</w:t>
      </w:r>
    </w:p>
    <w:p w:rsidR="009E72DC" w:rsidRDefault="009E72DC" w:rsidP="009E72DC">
      <w:pPr>
        <w:spacing w:after="0" w:line="360" w:lineRule="auto"/>
        <w:ind w:firstLine="708"/>
        <w:jc w:val="both"/>
        <w:rPr>
          <w:rFonts w:ascii="Times New Roman" w:hAnsi="Times New Roman"/>
          <w:sz w:val="24"/>
          <w:szCs w:val="24"/>
        </w:rPr>
      </w:pPr>
      <w:r>
        <w:rPr>
          <w:rFonts w:ascii="Times New Roman" w:hAnsi="Times New Roman"/>
          <w:sz w:val="24"/>
          <w:szCs w:val="24"/>
        </w:rPr>
        <w:t>E com base em estruturas de violência simbólica que a</w:t>
      </w:r>
      <w:r w:rsidRPr="00FE2F43">
        <w:rPr>
          <w:rFonts w:ascii="Times New Roman" w:hAnsi="Times New Roman"/>
          <w:sz w:val="24"/>
          <w:szCs w:val="24"/>
        </w:rPr>
        <w:t>s mulheres, ao longo da história, têm sido vítimas de uma armadilha social que as col</w:t>
      </w:r>
      <w:r>
        <w:rPr>
          <w:rFonts w:ascii="Times New Roman" w:hAnsi="Times New Roman"/>
          <w:sz w:val="24"/>
          <w:szCs w:val="24"/>
        </w:rPr>
        <w:t xml:space="preserve">oca numa posição de fragilidade, </w:t>
      </w:r>
      <w:r w:rsidRPr="00FE2F43">
        <w:rPr>
          <w:rFonts w:ascii="Times New Roman" w:hAnsi="Times New Roman"/>
          <w:sz w:val="24"/>
          <w:szCs w:val="24"/>
        </w:rPr>
        <w:t>docilidade</w:t>
      </w:r>
      <w:r>
        <w:rPr>
          <w:rFonts w:ascii="Times New Roman" w:hAnsi="Times New Roman"/>
          <w:sz w:val="24"/>
          <w:szCs w:val="24"/>
        </w:rPr>
        <w:t xml:space="preserve"> e submissão</w:t>
      </w:r>
      <w:r w:rsidRPr="00FE2F43">
        <w:rPr>
          <w:rFonts w:ascii="Times New Roman" w:hAnsi="Times New Roman"/>
          <w:sz w:val="24"/>
          <w:szCs w:val="24"/>
        </w:rPr>
        <w:t xml:space="preserve">, </w:t>
      </w:r>
      <w:r>
        <w:rPr>
          <w:rFonts w:ascii="Times New Roman" w:hAnsi="Times New Roman"/>
          <w:sz w:val="24"/>
          <w:szCs w:val="24"/>
        </w:rPr>
        <w:t>elementos</w:t>
      </w:r>
      <w:r w:rsidRPr="00FE2F43">
        <w:rPr>
          <w:rFonts w:ascii="Times New Roman" w:hAnsi="Times New Roman"/>
          <w:sz w:val="24"/>
          <w:szCs w:val="24"/>
        </w:rPr>
        <w:t xml:space="preserve"> responsáveis por uma construção </w:t>
      </w:r>
      <w:r>
        <w:rPr>
          <w:rFonts w:ascii="Times New Roman" w:hAnsi="Times New Roman"/>
          <w:sz w:val="24"/>
          <w:szCs w:val="24"/>
        </w:rPr>
        <w:t xml:space="preserve">estereotipada </w:t>
      </w:r>
      <w:r w:rsidRPr="00FE2F43">
        <w:rPr>
          <w:rFonts w:ascii="Times New Roman" w:hAnsi="Times New Roman"/>
          <w:sz w:val="24"/>
          <w:szCs w:val="24"/>
        </w:rPr>
        <w:t xml:space="preserve">de pessoas menos capazes. </w:t>
      </w:r>
    </w:p>
    <w:p w:rsidR="00954669" w:rsidRDefault="00954669" w:rsidP="00954669">
      <w:pPr>
        <w:spacing w:after="0" w:line="360" w:lineRule="auto"/>
        <w:jc w:val="both"/>
        <w:rPr>
          <w:rFonts w:ascii="Times New Roman" w:hAnsi="Times New Roman"/>
          <w:sz w:val="24"/>
          <w:szCs w:val="24"/>
        </w:rPr>
      </w:pPr>
    </w:p>
    <w:p w:rsidR="00954669" w:rsidRPr="00954669" w:rsidRDefault="00954669" w:rsidP="00954669">
      <w:pPr>
        <w:spacing w:after="0" w:line="360" w:lineRule="auto"/>
        <w:jc w:val="both"/>
        <w:rPr>
          <w:rFonts w:ascii="Times New Roman" w:hAnsi="Times New Roman"/>
          <w:b/>
          <w:bCs/>
          <w:sz w:val="24"/>
          <w:szCs w:val="24"/>
        </w:rPr>
      </w:pPr>
      <w:r w:rsidRPr="00954669">
        <w:rPr>
          <w:rFonts w:ascii="Times New Roman" w:hAnsi="Times New Roman"/>
          <w:b/>
          <w:bCs/>
          <w:sz w:val="24"/>
          <w:szCs w:val="24"/>
        </w:rPr>
        <w:t>2 PODER SIMBÓLICO, CÁRCERE E GÊNERO</w:t>
      </w:r>
    </w:p>
    <w:p w:rsidR="00660B15" w:rsidRPr="00954669" w:rsidRDefault="009E72DC" w:rsidP="00954669">
      <w:pPr>
        <w:spacing w:after="0" w:line="360" w:lineRule="auto"/>
        <w:ind w:firstLine="708"/>
        <w:jc w:val="both"/>
        <w:rPr>
          <w:rFonts w:ascii="Times New Roman" w:hAnsi="Times New Roman"/>
          <w:sz w:val="24"/>
          <w:szCs w:val="24"/>
        </w:rPr>
      </w:pPr>
      <w:r>
        <w:rPr>
          <w:rFonts w:ascii="Times New Roman" w:hAnsi="Times New Roman"/>
          <w:sz w:val="24"/>
          <w:szCs w:val="24"/>
        </w:rPr>
        <w:t xml:space="preserve">Quando se fala em </w:t>
      </w:r>
      <w:r w:rsidRPr="00FE2F43">
        <w:rPr>
          <w:rFonts w:ascii="Times New Roman" w:hAnsi="Times New Roman"/>
          <w:sz w:val="24"/>
          <w:szCs w:val="24"/>
        </w:rPr>
        <w:t>matéria criminal, as mulheres também eram consideradas, fruto da tão aclamada docilidade, muito menos capazes de cometer crimes que os homens e quando os cometia, seria sempre sob a influência de um homem ou por motivos de paixão. Essa suposta incapacidade para o mundo do crime é um dos elementos que ajuda a fortalecer o universo feminino como inferior nos diversos campos sociais (FARIA, 2010).</w:t>
      </w:r>
      <w:r w:rsidR="00660B15" w:rsidRPr="00660B15">
        <w:rPr>
          <w:rFonts w:ascii="Times New Roman" w:hAnsi="Times New Roman"/>
          <w:sz w:val="24"/>
          <w:szCs w:val="24"/>
        </w:rPr>
        <w:t xml:space="preserve"> </w:t>
      </w:r>
    </w:p>
    <w:p w:rsidR="00491628" w:rsidRDefault="00491628" w:rsidP="00491628">
      <w:pPr>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É nessa ótica de dominação que se analisa</w:t>
      </w:r>
      <w:r w:rsidR="00EC5205">
        <w:rPr>
          <w:rFonts w:ascii="Times New Roman" w:hAnsi="Times New Roman"/>
          <w:sz w:val="24"/>
          <w:szCs w:val="24"/>
        </w:rPr>
        <w:t>, nesse segundo momento,</w:t>
      </w:r>
      <w:r>
        <w:rPr>
          <w:rFonts w:ascii="Times New Roman" w:hAnsi="Times New Roman"/>
          <w:sz w:val="24"/>
          <w:szCs w:val="24"/>
        </w:rPr>
        <w:t xml:space="preserve"> a percepção do encarceramento feminino no Brasil, afinal, a</w:t>
      </w:r>
      <w:r w:rsidRPr="00F2560F">
        <w:rPr>
          <w:rFonts w:ascii="Times New Roman" w:hAnsi="Times New Roman"/>
          <w:sz w:val="24"/>
          <w:szCs w:val="24"/>
        </w:rPr>
        <w:t xml:space="preserve"> lógica que persegue a existência feminina é de que são seres </w:t>
      </w:r>
      <w:r>
        <w:rPr>
          <w:rFonts w:ascii="Times New Roman" w:hAnsi="Times New Roman"/>
          <w:sz w:val="24"/>
          <w:szCs w:val="24"/>
        </w:rPr>
        <w:t xml:space="preserve">de segunda categoria, Simone de Beauvoir destaca que a mulher determina-se e diferencia-se em relação ao homem e não este em relação a ela; a fêmea é o </w:t>
      </w:r>
      <w:proofErr w:type="spellStart"/>
      <w:r>
        <w:rPr>
          <w:rFonts w:ascii="Times New Roman" w:hAnsi="Times New Roman"/>
          <w:sz w:val="24"/>
          <w:szCs w:val="24"/>
        </w:rPr>
        <w:t>inessencial</w:t>
      </w:r>
      <w:proofErr w:type="spellEnd"/>
      <w:r>
        <w:rPr>
          <w:rFonts w:ascii="Times New Roman" w:hAnsi="Times New Roman"/>
          <w:sz w:val="24"/>
          <w:szCs w:val="24"/>
        </w:rPr>
        <w:t xml:space="preserve"> perante o essencial. O homem é o sujeito, o absoluto; ela é o outro (1970, p. 10). Dessa forma, a visão </w:t>
      </w:r>
      <w:proofErr w:type="spellStart"/>
      <w:r>
        <w:rPr>
          <w:rFonts w:ascii="Times New Roman" w:hAnsi="Times New Roman"/>
          <w:sz w:val="24"/>
          <w:szCs w:val="24"/>
        </w:rPr>
        <w:t>androcêntrica</w:t>
      </w:r>
      <w:proofErr w:type="spellEnd"/>
      <w:r>
        <w:rPr>
          <w:rFonts w:ascii="Times New Roman" w:hAnsi="Times New Roman"/>
          <w:sz w:val="24"/>
          <w:szCs w:val="24"/>
        </w:rPr>
        <w:t xml:space="preserve"> atinge mulheres e crianças que estão por vezes condenadas ao cárcere, ainda que por tempo determinado, como no caso das crianças que nascem no sistema prisional e têm prazo para saírem</w:t>
      </w:r>
      <w:r>
        <w:rPr>
          <w:rStyle w:val="Refdenotaderodap"/>
          <w:rFonts w:ascii="Times New Roman" w:hAnsi="Times New Roman"/>
          <w:sz w:val="24"/>
          <w:szCs w:val="24"/>
        </w:rPr>
        <w:footnoteReference w:id="5"/>
      </w:r>
      <w:r>
        <w:rPr>
          <w:rFonts w:ascii="Times New Roman" w:hAnsi="Times New Roman"/>
          <w:sz w:val="24"/>
          <w:szCs w:val="24"/>
        </w:rPr>
        <w:t>.</w:t>
      </w:r>
    </w:p>
    <w:p w:rsidR="00E755C2" w:rsidRDefault="00491628" w:rsidP="00491628">
      <w:pPr>
        <w:autoSpaceDE w:val="0"/>
        <w:autoSpaceDN w:val="0"/>
        <w:adjustRightInd w:val="0"/>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Dessa forma, analisa-se </w:t>
      </w:r>
      <w:r w:rsidR="00E755C2">
        <w:rPr>
          <w:rFonts w:ascii="Times New Roman" w:hAnsi="Times New Roman"/>
          <w:sz w:val="24"/>
          <w:szCs w:val="24"/>
        </w:rPr>
        <w:t xml:space="preserve">o encarceramento em massa sob a ótica de gênero e raça, o porquê das prisões serem tão presentes e ao mesmo tempo ausentes para a sociedade. </w:t>
      </w:r>
      <w:r>
        <w:rPr>
          <w:rFonts w:ascii="Times New Roman" w:hAnsi="Times New Roman"/>
          <w:sz w:val="24"/>
          <w:szCs w:val="24"/>
        </w:rPr>
        <w:t xml:space="preserve">Para tanto, </w:t>
      </w:r>
      <w:r w:rsidR="00E755C2">
        <w:rPr>
          <w:rFonts w:ascii="Times New Roman" w:hAnsi="Times New Roman"/>
          <w:sz w:val="24"/>
          <w:szCs w:val="24"/>
        </w:rPr>
        <w:t>utilizou-se</w:t>
      </w:r>
      <w:r>
        <w:rPr>
          <w:rFonts w:ascii="Times New Roman" w:hAnsi="Times New Roman"/>
          <w:sz w:val="24"/>
          <w:szCs w:val="24"/>
        </w:rPr>
        <w:t>, como</w:t>
      </w:r>
      <w:r w:rsidR="00E755C2">
        <w:rPr>
          <w:rFonts w:ascii="Times New Roman" w:hAnsi="Times New Roman"/>
          <w:sz w:val="24"/>
          <w:szCs w:val="24"/>
        </w:rPr>
        <w:t xml:space="preserve"> marco teórico</w:t>
      </w:r>
      <w:r>
        <w:rPr>
          <w:rFonts w:ascii="Times New Roman" w:hAnsi="Times New Roman"/>
          <w:sz w:val="24"/>
          <w:szCs w:val="24"/>
        </w:rPr>
        <w:t>, as obra</w:t>
      </w:r>
      <w:r w:rsidRPr="009E72DC">
        <w:rPr>
          <w:rFonts w:ascii="Times New Roman" w:hAnsi="Times New Roman"/>
          <w:sz w:val="24"/>
          <w:szCs w:val="24"/>
        </w:rPr>
        <w:t xml:space="preserve">s Estarão as prisões obsoletas? e Mulheres, raça e classe, </w:t>
      </w:r>
      <w:r>
        <w:rPr>
          <w:rFonts w:ascii="Times New Roman" w:hAnsi="Times New Roman"/>
          <w:sz w:val="24"/>
          <w:szCs w:val="24"/>
        </w:rPr>
        <w:t xml:space="preserve">da filósofa </w:t>
      </w:r>
      <w:proofErr w:type="spellStart"/>
      <w:r>
        <w:rPr>
          <w:rFonts w:ascii="Times New Roman" w:hAnsi="Times New Roman"/>
          <w:sz w:val="24"/>
          <w:szCs w:val="24"/>
        </w:rPr>
        <w:t>Angela</w:t>
      </w:r>
      <w:proofErr w:type="spellEnd"/>
      <w:r>
        <w:rPr>
          <w:rFonts w:ascii="Times New Roman" w:hAnsi="Times New Roman"/>
          <w:sz w:val="24"/>
          <w:szCs w:val="24"/>
        </w:rPr>
        <w:t xml:space="preserve"> Davis.</w:t>
      </w:r>
    </w:p>
    <w:p w:rsidR="00491628" w:rsidRDefault="00491628" w:rsidP="00491628">
      <w:pPr>
        <w:autoSpaceDE w:val="0"/>
        <w:autoSpaceDN w:val="0"/>
        <w:adjustRightInd w:val="0"/>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Nas palavras de </w:t>
      </w:r>
      <w:proofErr w:type="spellStart"/>
      <w:r>
        <w:rPr>
          <w:rFonts w:ascii="Times New Roman" w:hAnsi="Times New Roman"/>
          <w:sz w:val="24"/>
          <w:szCs w:val="24"/>
        </w:rPr>
        <w:t>Angela</w:t>
      </w:r>
      <w:proofErr w:type="spellEnd"/>
      <w:r>
        <w:rPr>
          <w:rFonts w:ascii="Times New Roman" w:hAnsi="Times New Roman"/>
          <w:sz w:val="24"/>
          <w:szCs w:val="24"/>
        </w:rPr>
        <w:t xml:space="preserve"> Davis (2018, p. 20):</w:t>
      </w:r>
    </w:p>
    <w:p w:rsidR="00491628" w:rsidRPr="00E755C2" w:rsidRDefault="00491628" w:rsidP="00491628">
      <w:pPr>
        <w:autoSpaceDE w:val="0"/>
        <w:autoSpaceDN w:val="0"/>
        <w:adjustRightInd w:val="0"/>
        <w:spacing w:after="0" w:line="240" w:lineRule="auto"/>
        <w:ind w:left="2268"/>
        <w:contextualSpacing/>
        <w:jc w:val="both"/>
        <w:rPr>
          <w:rFonts w:ascii="Times New Roman" w:hAnsi="Times New Roman"/>
          <w:sz w:val="20"/>
          <w:szCs w:val="20"/>
        </w:rPr>
      </w:pPr>
      <w:r w:rsidRPr="00E755C2">
        <w:rPr>
          <w:rFonts w:ascii="Times New Roman" w:hAnsi="Times New Roman"/>
          <w:sz w:val="20"/>
          <w:szCs w:val="20"/>
        </w:rPr>
        <w:t>A prisão se tornou um ingrediente essencial no senso comum. Ela está lá, à nossa volta. Não questionamos se deveria existir. Ela se tornou uma parte fundamental da nossa existência que é necessário um grande esforço de imaginação para visualizar a vida sem elas.</w:t>
      </w:r>
    </w:p>
    <w:p w:rsidR="00491628" w:rsidRDefault="00491628" w:rsidP="00491628">
      <w:pPr>
        <w:autoSpaceDE w:val="0"/>
        <w:autoSpaceDN w:val="0"/>
        <w:adjustRightInd w:val="0"/>
        <w:spacing w:after="0" w:line="360" w:lineRule="auto"/>
        <w:contextualSpacing/>
        <w:jc w:val="both"/>
        <w:rPr>
          <w:rFonts w:ascii="Times New Roman" w:hAnsi="Times New Roman"/>
        </w:rPr>
      </w:pPr>
      <w:r>
        <w:rPr>
          <w:rFonts w:ascii="Times New Roman" w:hAnsi="Times New Roman"/>
        </w:rPr>
        <w:tab/>
      </w:r>
    </w:p>
    <w:p w:rsidR="00491628" w:rsidRDefault="00491628" w:rsidP="00491628">
      <w:pPr>
        <w:autoSpaceDE w:val="0"/>
        <w:autoSpaceDN w:val="0"/>
        <w:adjustRightInd w:val="0"/>
        <w:spacing w:after="0" w:line="360" w:lineRule="auto"/>
        <w:ind w:firstLine="708"/>
        <w:contextualSpacing/>
        <w:jc w:val="both"/>
        <w:rPr>
          <w:rFonts w:ascii="Times New Roman" w:hAnsi="Times New Roman"/>
          <w:sz w:val="24"/>
          <w:szCs w:val="24"/>
        </w:rPr>
      </w:pPr>
      <w:r>
        <w:rPr>
          <w:rFonts w:ascii="Times New Roman" w:hAnsi="Times New Roman"/>
          <w:sz w:val="24"/>
          <w:szCs w:val="24"/>
        </w:rPr>
        <w:t>A sociedade (punitiva) não visualiza alternativa para o encarceramento; torna-se, assim, um mecanismo essencial para configurar uma sensação de segurança. Não se discute sobre o que ocorre lá dentro, já que, segundo o senso comum, “quem lá ingressou é porque merece e tem que permanecer”, não importando as condições.</w:t>
      </w:r>
    </w:p>
    <w:p w:rsidR="00491628" w:rsidRDefault="009E72DC" w:rsidP="00491628">
      <w:pPr>
        <w:autoSpaceDE w:val="0"/>
        <w:autoSpaceDN w:val="0"/>
        <w:adjustRightInd w:val="0"/>
        <w:spacing w:after="0" w:line="360" w:lineRule="auto"/>
        <w:ind w:firstLine="708"/>
        <w:contextualSpacing/>
        <w:jc w:val="both"/>
        <w:rPr>
          <w:rFonts w:ascii="Times New Roman" w:hAnsi="Times New Roman"/>
          <w:sz w:val="24"/>
          <w:szCs w:val="24"/>
        </w:rPr>
      </w:pPr>
      <w:r>
        <w:rPr>
          <w:rFonts w:ascii="Times New Roman" w:hAnsi="Times New Roman"/>
          <w:sz w:val="24"/>
          <w:szCs w:val="24"/>
        </w:rPr>
        <w:t>No que se refere a mulher encarcerada, esta</w:t>
      </w:r>
      <w:r w:rsidR="00491628" w:rsidRPr="00DA61DE">
        <w:rPr>
          <w:rFonts w:ascii="Times New Roman" w:hAnsi="Times New Roman"/>
          <w:sz w:val="24"/>
          <w:szCs w:val="24"/>
        </w:rPr>
        <w:t xml:space="preserve"> mulher deveria desempenhar o papel de </w:t>
      </w:r>
      <w:r w:rsidR="00491628">
        <w:rPr>
          <w:rFonts w:ascii="Times New Roman" w:hAnsi="Times New Roman"/>
          <w:sz w:val="24"/>
          <w:szCs w:val="24"/>
        </w:rPr>
        <w:t>“</w:t>
      </w:r>
      <w:r w:rsidR="00491628" w:rsidRPr="00DA61DE">
        <w:rPr>
          <w:rFonts w:ascii="Times New Roman" w:hAnsi="Times New Roman"/>
          <w:sz w:val="24"/>
          <w:szCs w:val="24"/>
        </w:rPr>
        <w:t>dama</w:t>
      </w:r>
      <w:r w:rsidR="00491628">
        <w:rPr>
          <w:rFonts w:ascii="Times New Roman" w:hAnsi="Times New Roman"/>
          <w:sz w:val="24"/>
          <w:szCs w:val="24"/>
        </w:rPr>
        <w:t>”</w:t>
      </w:r>
      <w:r w:rsidR="00491628" w:rsidRPr="00DA61DE">
        <w:rPr>
          <w:rFonts w:ascii="Times New Roman" w:hAnsi="Times New Roman"/>
          <w:sz w:val="24"/>
          <w:szCs w:val="24"/>
        </w:rPr>
        <w:t>, dando o exemplo moral e de castidade à sociedade, servindo à família e ao esposo, destarte, a Igreja se sentindo ameaçada decidiu adotar medidas rígidas, dando início à "caça às bruxas" (PIZOLOTTO, 2014).</w:t>
      </w:r>
    </w:p>
    <w:p w:rsidR="00491628" w:rsidRDefault="00491628" w:rsidP="00491628">
      <w:pPr>
        <w:autoSpaceDE w:val="0"/>
        <w:autoSpaceDN w:val="0"/>
        <w:adjustRightInd w:val="0"/>
        <w:spacing w:after="0" w:line="360" w:lineRule="auto"/>
        <w:ind w:firstLine="7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Esse processo pode ser notado na dificuldade que as mulheres enfrentam nos presídios dos estados brasileiros, pois é comum, na literatura especializada sobre o tema, ler relatos de presídios femininos que não tinham o aparato mínimo para as necessidades básicas da mulher, por exemplo, a falta de absorventes para fornecer nos períodos menstruais (QUEIROZ, 2015).</w:t>
      </w:r>
    </w:p>
    <w:p w:rsidR="00491628" w:rsidRDefault="00E755C2" w:rsidP="00491628">
      <w:pPr>
        <w:autoSpaceDE w:val="0"/>
        <w:autoSpaceDN w:val="0"/>
        <w:adjustRightInd w:val="0"/>
        <w:spacing w:after="0" w:line="360" w:lineRule="auto"/>
        <w:ind w:firstLine="7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Sendo assim</w:t>
      </w:r>
      <w:r w:rsidR="00491628" w:rsidRPr="00624562">
        <w:rPr>
          <w:rFonts w:ascii="Times New Roman" w:hAnsi="Times New Roman"/>
          <w:color w:val="000000" w:themeColor="text1"/>
          <w:sz w:val="24"/>
          <w:szCs w:val="24"/>
        </w:rPr>
        <w:t>, debater sobre o sistema carcerário</w:t>
      </w:r>
      <w:r>
        <w:rPr>
          <w:rFonts w:ascii="Times New Roman" w:hAnsi="Times New Roman"/>
          <w:color w:val="000000" w:themeColor="text1"/>
          <w:sz w:val="24"/>
          <w:szCs w:val="24"/>
        </w:rPr>
        <w:t xml:space="preserve"> sob a ótica de dominação masculina, gênero e raça e os seus reflexos na vida de</w:t>
      </w:r>
      <w:r w:rsidR="00491628" w:rsidRPr="00624562">
        <w:rPr>
          <w:rFonts w:ascii="Times New Roman" w:hAnsi="Times New Roman"/>
          <w:color w:val="000000" w:themeColor="text1"/>
          <w:sz w:val="24"/>
          <w:szCs w:val="24"/>
        </w:rPr>
        <w:t>s</w:t>
      </w:r>
      <w:r>
        <w:rPr>
          <w:rFonts w:ascii="Times New Roman" w:hAnsi="Times New Roman"/>
          <w:color w:val="000000" w:themeColor="text1"/>
          <w:sz w:val="24"/>
          <w:szCs w:val="24"/>
        </w:rPr>
        <w:t>sas</w:t>
      </w:r>
      <w:r w:rsidR="00491628" w:rsidRPr="00624562">
        <w:rPr>
          <w:rFonts w:ascii="Times New Roman" w:hAnsi="Times New Roman"/>
          <w:color w:val="000000" w:themeColor="text1"/>
          <w:sz w:val="24"/>
          <w:szCs w:val="24"/>
        </w:rPr>
        <w:t xml:space="preserve"> mulheres é fundamental para compreender a </w:t>
      </w:r>
      <w:r>
        <w:rPr>
          <w:rFonts w:ascii="Times New Roman" w:hAnsi="Times New Roman"/>
          <w:color w:val="000000" w:themeColor="text1"/>
          <w:sz w:val="24"/>
          <w:szCs w:val="24"/>
        </w:rPr>
        <w:lastRenderedPageBreak/>
        <w:t>gravidade da invisibilidade de</w:t>
      </w:r>
      <w:r w:rsidR="00491628" w:rsidRPr="00624562">
        <w:rPr>
          <w:rFonts w:ascii="Times New Roman" w:hAnsi="Times New Roman"/>
          <w:color w:val="000000" w:themeColor="text1"/>
          <w:sz w:val="24"/>
          <w:szCs w:val="24"/>
        </w:rPr>
        <w:t xml:space="preserve"> vidas encarceradas, assim como a desigualdade entre homens e mulheres</w:t>
      </w:r>
      <w:r w:rsidR="00491628">
        <w:rPr>
          <w:rFonts w:ascii="Times New Roman" w:hAnsi="Times New Roman"/>
          <w:color w:val="000000" w:themeColor="text1"/>
          <w:sz w:val="24"/>
          <w:szCs w:val="24"/>
        </w:rPr>
        <w:t xml:space="preserve"> no sistema prisional</w:t>
      </w:r>
      <w:r w:rsidR="00491628" w:rsidRPr="00624562">
        <w:rPr>
          <w:rFonts w:ascii="Times New Roman" w:hAnsi="Times New Roman"/>
          <w:color w:val="000000" w:themeColor="text1"/>
          <w:sz w:val="24"/>
          <w:szCs w:val="24"/>
        </w:rPr>
        <w:t xml:space="preserve">. </w:t>
      </w:r>
    </w:p>
    <w:p w:rsidR="00491628" w:rsidRDefault="00491628" w:rsidP="00491628">
      <w:pPr>
        <w:autoSpaceDE w:val="0"/>
        <w:autoSpaceDN w:val="0"/>
        <w:adjustRightInd w:val="0"/>
        <w:spacing w:after="0" w:line="360" w:lineRule="auto"/>
        <w:ind w:firstLine="708"/>
        <w:contextualSpacing/>
        <w:jc w:val="both"/>
        <w:rPr>
          <w:rFonts w:ascii="Times New Roman" w:hAnsi="Times New Roman"/>
          <w:sz w:val="24"/>
          <w:szCs w:val="24"/>
        </w:rPr>
      </w:pPr>
      <w:r w:rsidRPr="00624562">
        <w:rPr>
          <w:rFonts w:ascii="Times New Roman" w:hAnsi="Times New Roman"/>
          <w:sz w:val="24"/>
          <w:szCs w:val="24"/>
        </w:rPr>
        <w:t>O mundo do crime não é uma realidade apartada</w:t>
      </w:r>
      <w:r>
        <w:rPr>
          <w:rFonts w:ascii="Times New Roman" w:hAnsi="Times New Roman"/>
          <w:sz w:val="24"/>
          <w:szCs w:val="24"/>
        </w:rPr>
        <w:t xml:space="preserve"> </w:t>
      </w:r>
      <w:r w:rsidRPr="00624562">
        <w:rPr>
          <w:rFonts w:ascii="Times New Roman" w:hAnsi="Times New Roman"/>
          <w:sz w:val="24"/>
          <w:szCs w:val="24"/>
        </w:rPr>
        <w:t>da ordem social desigual entre homens e mulheres – ao</w:t>
      </w:r>
      <w:r>
        <w:rPr>
          <w:rFonts w:ascii="Times New Roman" w:hAnsi="Times New Roman"/>
          <w:sz w:val="24"/>
          <w:szCs w:val="24"/>
        </w:rPr>
        <w:t xml:space="preserve"> </w:t>
      </w:r>
      <w:r w:rsidRPr="00624562">
        <w:rPr>
          <w:rFonts w:ascii="Times New Roman" w:hAnsi="Times New Roman"/>
          <w:sz w:val="24"/>
          <w:szCs w:val="24"/>
        </w:rPr>
        <w:t>contrário, certas hierarquias, regras e práticas são exacerbadas</w:t>
      </w:r>
      <w:r>
        <w:rPr>
          <w:rFonts w:ascii="Times New Roman" w:hAnsi="Times New Roman"/>
          <w:sz w:val="24"/>
          <w:szCs w:val="24"/>
        </w:rPr>
        <w:t xml:space="preserve"> </w:t>
      </w:r>
      <w:r w:rsidRPr="00624562">
        <w:rPr>
          <w:rFonts w:ascii="Times New Roman" w:hAnsi="Times New Roman"/>
          <w:sz w:val="24"/>
          <w:szCs w:val="24"/>
        </w:rPr>
        <w:t>no mundão. Uma delas é a da dominação masculina; a segunda</w:t>
      </w:r>
      <w:r>
        <w:rPr>
          <w:rFonts w:ascii="Times New Roman" w:hAnsi="Times New Roman"/>
          <w:sz w:val="24"/>
          <w:szCs w:val="24"/>
        </w:rPr>
        <w:t xml:space="preserve"> </w:t>
      </w:r>
      <w:r w:rsidRPr="00624562">
        <w:rPr>
          <w:rFonts w:ascii="Times New Roman" w:hAnsi="Times New Roman"/>
          <w:sz w:val="24"/>
          <w:szCs w:val="24"/>
        </w:rPr>
        <w:t>é a da responsabilidade feminina pelo cuidado de filhos</w:t>
      </w:r>
      <w:r>
        <w:rPr>
          <w:rFonts w:ascii="Times New Roman" w:hAnsi="Times New Roman"/>
          <w:sz w:val="24"/>
          <w:szCs w:val="24"/>
        </w:rPr>
        <w:t xml:space="preserve"> (DINIZ, 2017).</w:t>
      </w:r>
    </w:p>
    <w:p w:rsidR="00491628" w:rsidRDefault="00491628" w:rsidP="00491628">
      <w:pPr>
        <w:rPr>
          <w:rFonts w:ascii="Times New Roman" w:hAnsi="Times New Roman"/>
          <w:sz w:val="24"/>
          <w:szCs w:val="24"/>
        </w:rPr>
      </w:pPr>
      <w:r>
        <w:rPr>
          <w:rFonts w:ascii="Times New Roman" w:hAnsi="Times New Roman"/>
          <w:sz w:val="24"/>
          <w:szCs w:val="24"/>
        </w:rPr>
        <w:tab/>
      </w:r>
      <w:r w:rsidR="00E755C2">
        <w:rPr>
          <w:rFonts w:ascii="Times New Roman" w:hAnsi="Times New Roman"/>
          <w:sz w:val="24"/>
          <w:szCs w:val="24"/>
        </w:rPr>
        <w:t>Nesse sentido, d</w:t>
      </w:r>
      <w:r>
        <w:rPr>
          <w:rFonts w:ascii="Times New Roman" w:hAnsi="Times New Roman"/>
          <w:sz w:val="24"/>
          <w:szCs w:val="24"/>
        </w:rPr>
        <w:t xml:space="preserve">estaca Luciana Ramos (2012, p. 62): </w:t>
      </w:r>
    </w:p>
    <w:p w:rsidR="00491628" w:rsidRPr="009E72DC" w:rsidRDefault="00491628" w:rsidP="009E72DC">
      <w:pPr>
        <w:spacing w:line="240" w:lineRule="auto"/>
        <w:ind w:left="2268"/>
        <w:jc w:val="both"/>
        <w:rPr>
          <w:rFonts w:ascii="Times New Roman" w:hAnsi="Times New Roman"/>
          <w:sz w:val="20"/>
          <w:szCs w:val="20"/>
        </w:rPr>
      </w:pPr>
      <w:r w:rsidRPr="00E755C2">
        <w:rPr>
          <w:rFonts w:ascii="Times New Roman" w:hAnsi="Times New Roman"/>
          <w:sz w:val="20"/>
          <w:szCs w:val="20"/>
        </w:rPr>
        <w:t>As escassas informações sobre a delinquência feminina se dão, não só pela situação, culturalmente construída, de subalternidade das mulheres, de ocultação dos papéis por elas desenvolvidos na sociedade, muito embora, a ocupação do espaço público tenha ganhado cada vez mais um colorido feminino, mas também ocorre pelo baixo índice geral do encarceramento feminino (tomado com relação aos índices masculinos).</w:t>
      </w:r>
    </w:p>
    <w:p w:rsidR="00491628" w:rsidRPr="00FE2F43"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r>
      <w:r w:rsidRPr="00FE2F43">
        <w:rPr>
          <w:rFonts w:ascii="Times New Roman" w:hAnsi="Times New Roman"/>
          <w:sz w:val="24"/>
          <w:szCs w:val="24"/>
        </w:rPr>
        <w:t>A constatação de que as mulheres encarceradas são, em sua maioria, primárias, jovens, pertencentes a grupos étnicos minoritários, pobres, mães solteiras, com baixa escolaridade e sem qualificação profissional, e que no momento da sua prisão portavam pequena quantidade de drogas, não possuíam relação com organizações criminosas, não praticaram atos de violência, tampouco portavam armas, demonstra a urgência de elaborarem-se políticas sociais mais eficazes, razoáveis e proporcionais, que considerem as especificidades da conduta feminina e as funções efetivamente exercidas pelo cárcere (ISHIY, 2014).</w:t>
      </w:r>
    </w:p>
    <w:p w:rsidR="00E755C2" w:rsidRDefault="00491628" w:rsidP="00491628">
      <w:pPr>
        <w:spacing w:after="0" w:line="360" w:lineRule="auto"/>
        <w:contextualSpacing/>
        <w:jc w:val="both"/>
        <w:rPr>
          <w:rFonts w:ascii="Times New Roman" w:hAnsi="Times New Roman"/>
          <w:sz w:val="24"/>
          <w:szCs w:val="24"/>
        </w:rPr>
      </w:pPr>
      <w:r w:rsidRPr="00242E04">
        <w:rPr>
          <w:rFonts w:ascii="Times New Roman" w:hAnsi="Times New Roman"/>
          <w:sz w:val="24"/>
          <w:szCs w:val="24"/>
        </w:rPr>
        <w:tab/>
        <w:t xml:space="preserve">Assim, </w:t>
      </w:r>
      <w:r>
        <w:rPr>
          <w:rFonts w:ascii="Times New Roman" w:hAnsi="Times New Roman"/>
          <w:sz w:val="24"/>
          <w:szCs w:val="24"/>
        </w:rPr>
        <w:t xml:space="preserve">citando </w:t>
      </w:r>
      <w:proofErr w:type="spellStart"/>
      <w:r>
        <w:rPr>
          <w:rFonts w:ascii="Times New Roman" w:hAnsi="Times New Roman"/>
          <w:sz w:val="24"/>
          <w:szCs w:val="24"/>
        </w:rPr>
        <w:t>Makki</w:t>
      </w:r>
      <w:proofErr w:type="spellEnd"/>
      <w:r>
        <w:rPr>
          <w:rFonts w:ascii="Times New Roman" w:hAnsi="Times New Roman"/>
          <w:sz w:val="24"/>
          <w:szCs w:val="24"/>
        </w:rPr>
        <w:t xml:space="preserve"> e Santos (2010), </w:t>
      </w:r>
      <w:r w:rsidRPr="00242E04">
        <w:rPr>
          <w:rFonts w:ascii="Times New Roman" w:hAnsi="Times New Roman"/>
          <w:sz w:val="24"/>
          <w:szCs w:val="24"/>
        </w:rPr>
        <w:t>apesar de estarem expost</w:t>
      </w:r>
      <w:r>
        <w:rPr>
          <w:rFonts w:ascii="Times New Roman" w:hAnsi="Times New Roman"/>
          <w:sz w:val="24"/>
          <w:szCs w:val="24"/>
        </w:rPr>
        <w:t>a</w:t>
      </w:r>
      <w:r w:rsidRPr="00242E04">
        <w:rPr>
          <w:rFonts w:ascii="Times New Roman" w:hAnsi="Times New Roman"/>
          <w:sz w:val="24"/>
          <w:szCs w:val="24"/>
        </w:rPr>
        <w:t>s aos mesmos fatores sociais que atingem a nossa população, as mulheres sofrem, além desses,</w:t>
      </w:r>
      <w:r>
        <w:rPr>
          <w:rFonts w:ascii="Times New Roman" w:hAnsi="Times New Roman"/>
          <w:sz w:val="24"/>
          <w:szCs w:val="24"/>
        </w:rPr>
        <w:t xml:space="preserve"> </w:t>
      </w:r>
      <w:r w:rsidRPr="00242E04">
        <w:rPr>
          <w:rFonts w:ascii="Times New Roman" w:hAnsi="Times New Roman"/>
          <w:sz w:val="24"/>
          <w:szCs w:val="24"/>
        </w:rPr>
        <w:t>fatores culturais característicos do gênero</w:t>
      </w:r>
      <w:r>
        <w:rPr>
          <w:rFonts w:ascii="Times New Roman" w:hAnsi="Times New Roman"/>
          <w:sz w:val="24"/>
          <w:szCs w:val="24"/>
        </w:rPr>
        <w:t>, c</w:t>
      </w:r>
      <w:r w:rsidR="00E755C2">
        <w:rPr>
          <w:rFonts w:ascii="Times New Roman" w:hAnsi="Times New Roman"/>
          <w:sz w:val="24"/>
          <w:szCs w:val="24"/>
        </w:rPr>
        <w:t xml:space="preserve">omo maus tratos e abuso sexuais </w:t>
      </w:r>
      <w:r w:rsidRPr="00242E04">
        <w:rPr>
          <w:rFonts w:ascii="Times New Roman" w:hAnsi="Times New Roman"/>
          <w:sz w:val="24"/>
          <w:szCs w:val="24"/>
        </w:rPr>
        <w:t xml:space="preserve">sofridos durante a infância e adolescência, violência doméstica por parte de seus companheiros, gravidez precoce, entre outros. </w:t>
      </w:r>
    </w:p>
    <w:p w:rsidR="00491628" w:rsidRDefault="00491628" w:rsidP="00E755C2">
      <w:pPr>
        <w:spacing w:after="0" w:line="360" w:lineRule="auto"/>
        <w:ind w:firstLine="708"/>
        <w:contextualSpacing/>
        <w:jc w:val="both"/>
        <w:rPr>
          <w:rFonts w:ascii="Times New Roman" w:hAnsi="Times New Roman"/>
          <w:sz w:val="24"/>
          <w:szCs w:val="24"/>
        </w:rPr>
      </w:pPr>
      <w:r w:rsidRPr="00242E04">
        <w:rPr>
          <w:rFonts w:ascii="Times New Roman" w:hAnsi="Times New Roman"/>
          <w:sz w:val="24"/>
          <w:szCs w:val="24"/>
        </w:rPr>
        <w:t xml:space="preserve">De acordo com Bárbara </w:t>
      </w:r>
      <w:proofErr w:type="spellStart"/>
      <w:r w:rsidRPr="00242E04">
        <w:rPr>
          <w:rFonts w:ascii="Times New Roman" w:hAnsi="Times New Roman"/>
          <w:sz w:val="24"/>
          <w:szCs w:val="24"/>
        </w:rPr>
        <w:t>Musumeci</w:t>
      </w:r>
      <w:proofErr w:type="spellEnd"/>
      <w:r w:rsidRPr="00242E04">
        <w:rPr>
          <w:rFonts w:ascii="Times New Roman" w:hAnsi="Times New Roman"/>
          <w:sz w:val="24"/>
          <w:szCs w:val="24"/>
        </w:rPr>
        <w:t xml:space="preserve"> Soares</w:t>
      </w:r>
      <w:r>
        <w:rPr>
          <w:rFonts w:ascii="Times New Roman" w:hAnsi="Times New Roman"/>
          <w:sz w:val="24"/>
          <w:szCs w:val="24"/>
        </w:rPr>
        <w:t xml:space="preserve"> (2002)</w:t>
      </w:r>
      <w:r w:rsidRPr="00242E04">
        <w:rPr>
          <w:rFonts w:ascii="Times New Roman" w:hAnsi="Times New Roman"/>
          <w:sz w:val="24"/>
          <w:szCs w:val="24"/>
        </w:rPr>
        <w:t xml:space="preserve"> mais de 95% das mulheres encarceradas foram vítimas de violência em algumas dessas situações: na infância, por parte de seus responsáveis; na vida adulta, por parte dos maridos e quando presas por parte de policiais civis, militares ou federais.</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Com base nos dados do </w:t>
      </w:r>
      <w:proofErr w:type="spellStart"/>
      <w:r>
        <w:rPr>
          <w:rFonts w:ascii="Times New Roman" w:hAnsi="Times New Roman"/>
          <w:sz w:val="24"/>
          <w:szCs w:val="24"/>
        </w:rPr>
        <w:t>Infopen</w:t>
      </w:r>
      <w:proofErr w:type="spellEnd"/>
      <w:r>
        <w:rPr>
          <w:rFonts w:ascii="Times New Roman" w:hAnsi="Times New Roman"/>
          <w:sz w:val="24"/>
          <w:szCs w:val="24"/>
        </w:rPr>
        <w:t xml:space="preserve"> 2018, </w:t>
      </w:r>
      <w:r w:rsidR="00E755C2">
        <w:rPr>
          <w:rFonts w:ascii="Times New Roman" w:hAnsi="Times New Roman"/>
          <w:sz w:val="24"/>
          <w:szCs w:val="24"/>
        </w:rPr>
        <w:t>é possível</w:t>
      </w:r>
      <w:r>
        <w:rPr>
          <w:rFonts w:ascii="Times New Roman" w:hAnsi="Times New Roman"/>
          <w:sz w:val="24"/>
          <w:szCs w:val="24"/>
        </w:rPr>
        <w:t xml:space="preserve"> o perfil da mulher encarcerada no Brasil. </w:t>
      </w:r>
      <w:r w:rsidR="00E755C2">
        <w:rPr>
          <w:rFonts w:ascii="Times New Roman" w:hAnsi="Times New Roman"/>
          <w:sz w:val="24"/>
          <w:szCs w:val="24"/>
        </w:rPr>
        <w:t>Nota-se</w:t>
      </w:r>
      <w:r>
        <w:rPr>
          <w:rFonts w:ascii="Times New Roman" w:hAnsi="Times New Roman"/>
          <w:sz w:val="24"/>
          <w:szCs w:val="24"/>
        </w:rPr>
        <w:t xml:space="preserve"> que 50% da população prisional feminina é formada por jovens, ou seja, de 18 a 29 anos (BRASIL, 2018, p. 38), conforme classificação do Estatuto da Juventude, Lei nº 12.852/2013 (</w:t>
      </w:r>
      <w:r w:rsidR="00E755C2">
        <w:rPr>
          <w:rFonts w:ascii="Times New Roman" w:hAnsi="Times New Roman"/>
          <w:sz w:val="24"/>
          <w:szCs w:val="24"/>
        </w:rPr>
        <w:t>BRASIL, 2018</w:t>
      </w:r>
      <w:r>
        <w:rPr>
          <w:rFonts w:ascii="Times New Roman" w:hAnsi="Times New Roman"/>
          <w:sz w:val="24"/>
          <w:szCs w:val="24"/>
        </w:rPr>
        <w:t xml:space="preserve">). </w:t>
      </w:r>
    </w:p>
    <w:p w:rsidR="00491628" w:rsidRDefault="00491628" w:rsidP="00491628">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Outro aspecto abordado e disponibilizado pelo </w:t>
      </w:r>
      <w:proofErr w:type="spellStart"/>
      <w:r>
        <w:rPr>
          <w:rFonts w:ascii="Times New Roman" w:hAnsi="Times New Roman"/>
          <w:sz w:val="24"/>
          <w:szCs w:val="24"/>
        </w:rPr>
        <w:t>Infopen</w:t>
      </w:r>
      <w:proofErr w:type="spellEnd"/>
      <w:r>
        <w:rPr>
          <w:rFonts w:ascii="Times New Roman" w:hAnsi="Times New Roman"/>
          <w:sz w:val="24"/>
          <w:szCs w:val="24"/>
        </w:rPr>
        <w:t xml:space="preserve"> 2018 é referente à raça e à cor da população carcerária feminina; segundo os dados, 62% da população é composta por mulheres negras (BRASIL, 2018, p. 40). É possível afirmar que,</w:t>
      </w:r>
      <w:r w:rsidRPr="002D31E4">
        <w:rPr>
          <w:rFonts w:ascii="Times New Roman" w:hAnsi="Times New Roman"/>
          <w:sz w:val="24"/>
          <w:szCs w:val="24"/>
        </w:rPr>
        <w:t xml:space="preserve"> entre a população maior de </w:t>
      </w:r>
      <w:r w:rsidRPr="002D31E4">
        <w:rPr>
          <w:rFonts w:ascii="Times New Roman" w:hAnsi="Times New Roman"/>
          <w:sz w:val="24"/>
          <w:szCs w:val="24"/>
        </w:rPr>
        <w:lastRenderedPageBreak/>
        <w:t>18 anos, existem aproximadamente 40 mulheres brancas privadas de liberdade para cada grupo de 100 mil mulheres brancas, e existem 62 mulheres negras na mesma situação para cada grupo de 100 mil mulheres negras, o que expressa a disparidade entre os padrões de encarceramento de mulheres negras e brancas no Brasil</w:t>
      </w:r>
      <w:r>
        <w:rPr>
          <w:rFonts w:ascii="Times New Roman" w:hAnsi="Times New Roman"/>
          <w:sz w:val="24"/>
          <w:szCs w:val="24"/>
        </w:rPr>
        <w:t xml:space="preserve"> (BRASIL, 2018).</w:t>
      </w:r>
    </w:p>
    <w:p w:rsidR="00E17A0D" w:rsidRDefault="00491628" w:rsidP="009E72DC">
      <w:pPr>
        <w:spacing w:after="0" w:line="360" w:lineRule="auto"/>
        <w:contextualSpacing/>
        <w:jc w:val="both"/>
        <w:rPr>
          <w:rFonts w:ascii="Times New Roman" w:hAnsi="Times New Roman"/>
          <w:sz w:val="24"/>
          <w:szCs w:val="24"/>
        </w:rPr>
      </w:pPr>
      <w:r>
        <w:rPr>
          <w:rFonts w:ascii="Times New Roman" w:hAnsi="Times New Roman"/>
          <w:sz w:val="24"/>
          <w:szCs w:val="24"/>
        </w:rPr>
        <w:tab/>
      </w:r>
      <w:r w:rsidRPr="00940EC8">
        <w:rPr>
          <w:rFonts w:ascii="Times New Roman" w:hAnsi="Times New Roman"/>
          <w:sz w:val="24"/>
          <w:szCs w:val="24"/>
        </w:rPr>
        <w:t>Nessa perspectiva, podemos inferir que o sistema penal não foi concebido para atin</w:t>
      </w:r>
      <w:r>
        <w:rPr>
          <w:rFonts w:ascii="Times New Roman" w:hAnsi="Times New Roman"/>
          <w:sz w:val="24"/>
          <w:szCs w:val="24"/>
        </w:rPr>
        <w:t>gir a todos os delitos e delinqu</w:t>
      </w:r>
      <w:r w:rsidRPr="00940EC8">
        <w:rPr>
          <w:rFonts w:ascii="Times New Roman" w:hAnsi="Times New Roman"/>
          <w:sz w:val="24"/>
          <w:szCs w:val="24"/>
        </w:rPr>
        <w:t>entes, sob o risco de decretar sua própria falência. Trata</w:t>
      </w:r>
      <w:r>
        <w:rPr>
          <w:rFonts w:ascii="Times New Roman" w:hAnsi="Times New Roman"/>
          <w:sz w:val="24"/>
          <w:szCs w:val="24"/>
        </w:rPr>
        <w:t>-</w:t>
      </w:r>
      <w:r w:rsidRPr="00940EC8">
        <w:rPr>
          <w:rFonts w:ascii="Times New Roman" w:hAnsi="Times New Roman"/>
          <w:sz w:val="24"/>
          <w:szCs w:val="24"/>
        </w:rPr>
        <w:t>se de uma estrutura vocacionada para atingir os crimes relacionados aos setores socialmente mais vulneráveis</w:t>
      </w:r>
      <w:r>
        <w:rPr>
          <w:rFonts w:ascii="Times New Roman" w:hAnsi="Times New Roman"/>
          <w:sz w:val="24"/>
          <w:szCs w:val="24"/>
        </w:rPr>
        <w:t xml:space="preserve"> (FLAUZINA, 2006). </w:t>
      </w:r>
    </w:p>
    <w:p w:rsidR="00491628" w:rsidRDefault="00491628" w:rsidP="00E17A0D">
      <w:pPr>
        <w:spacing w:after="0" w:line="360" w:lineRule="auto"/>
        <w:ind w:firstLine="709"/>
        <w:contextualSpacing/>
        <w:jc w:val="both"/>
        <w:rPr>
          <w:rFonts w:ascii="Times New Roman" w:hAnsi="Times New Roman"/>
          <w:sz w:val="24"/>
          <w:szCs w:val="24"/>
        </w:rPr>
      </w:pPr>
      <w:r>
        <w:rPr>
          <w:rFonts w:ascii="Times New Roman" w:hAnsi="Times New Roman"/>
          <w:sz w:val="24"/>
          <w:szCs w:val="24"/>
        </w:rPr>
        <w:t>Nesse sentido, temos um sistema prisional com pessoas selecionadas, tornando uma seleção bem homogênea, afinal, prender é a solução mais indicada para determinada parcela da sociedade.</w:t>
      </w:r>
    </w:p>
    <w:p w:rsidR="00491628" w:rsidRDefault="00491628" w:rsidP="00E17A0D">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Ana Flauzina (2006) destaca que as atribuições do sistema penal relacionam-se mais concretamente ao controle e perseguição de determinados indivíduos do que com a contenção das práticas delituosas.</w:t>
      </w:r>
    </w:p>
    <w:p w:rsidR="00491628" w:rsidRDefault="00491628" w:rsidP="00491628">
      <w:pPr>
        <w:pStyle w:val="PargrafodaLista"/>
        <w:spacing w:after="0" w:line="360" w:lineRule="auto"/>
        <w:ind w:left="0"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Nesse sentido, </w:t>
      </w:r>
      <w:proofErr w:type="spellStart"/>
      <w:r>
        <w:rPr>
          <w:rFonts w:ascii="Times New Roman" w:hAnsi="Times New Roman"/>
          <w:color w:val="000000" w:themeColor="text1"/>
          <w:sz w:val="24"/>
          <w:szCs w:val="24"/>
        </w:rPr>
        <w:t>Angela</w:t>
      </w:r>
      <w:proofErr w:type="spellEnd"/>
      <w:r>
        <w:rPr>
          <w:rFonts w:ascii="Times New Roman" w:hAnsi="Times New Roman"/>
          <w:color w:val="000000" w:themeColor="text1"/>
          <w:sz w:val="24"/>
          <w:szCs w:val="24"/>
        </w:rPr>
        <w:t xml:space="preserve"> Davis (2018, p. 69) destaca que: </w:t>
      </w:r>
    </w:p>
    <w:p w:rsidR="00491628" w:rsidRPr="00E17A0D" w:rsidRDefault="00491628" w:rsidP="00491628">
      <w:pPr>
        <w:pStyle w:val="PargrafodaLista"/>
        <w:spacing w:after="0" w:line="240" w:lineRule="auto"/>
        <w:ind w:left="2268"/>
        <w:jc w:val="both"/>
        <w:rPr>
          <w:rFonts w:ascii="Times New Roman" w:hAnsi="Times New Roman"/>
          <w:color w:val="000000" w:themeColor="text1"/>
          <w:sz w:val="20"/>
          <w:szCs w:val="20"/>
        </w:rPr>
      </w:pPr>
      <w:r w:rsidRPr="00E17A0D">
        <w:rPr>
          <w:rFonts w:ascii="Times New Roman" w:hAnsi="Times New Roman"/>
          <w:color w:val="000000" w:themeColor="text1"/>
          <w:sz w:val="20"/>
          <w:szCs w:val="20"/>
        </w:rPr>
        <w:t xml:space="preserve">[...] Seguindo o modelo dominante de prisões femininas durante o período, os regimes de </w:t>
      </w:r>
      <w:proofErr w:type="spellStart"/>
      <w:r w:rsidRPr="00E17A0D">
        <w:rPr>
          <w:rFonts w:ascii="Times New Roman" w:hAnsi="Times New Roman"/>
          <w:color w:val="000000" w:themeColor="text1"/>
          <w:sz w:val="20"/>
          <w:szCs w:val="20"/>
        </w:rPr>
        <w:t>Alderson</w:t>
      </w:r>
      <w:proofErr w:type="spellEnd"/>
      <w:r w:rsidRPr="00E17A0D">
        <w:rPr>
          <w:rFonts w:ascii="Times New Roman" w:hAnsi="Times New Roman"/>
          <w:color w:val="000000" w:themeColor="text1"/>
          <w:sz w:val="20"/>
          <w:szCs w:val="20"/>
        </w:rPr>
        <w:t xml:space="preserve"> se baseavam no pressuposto de que mulheres “criminosas” podiam ser regenerar por meio da assimilação de comportamentos femininos adequados – isto é, tornando-se especialistas na vida doméstica –, especialmente cozinhar, limpar e costurar. Obviamente, um treinamento destinado a produzir esposas e mães melhores dentre as mulheres brancas de classe média produzia empregadas domésticas qualificadas dentre as mulheres negras e pobres.</w:t>
      </w:r>
    </w:p>
    <w:p w:rsidR="00491628" w:rsidRPr="00F5027B" w:rsidRDefault="00491628" w:rsidP="00491628">
      <w:pPr>
        <w:pStyle w:val="PargrafodaLista"/>
        <w:spacing w:line="240" w:lineRule="auto"/>
        <w:ind w:left="0"/>
        <w:jc w:val="both"/>
        <w:rPr>
          <w:rFonts w:ascii="Times New Roman" w:hAnsi="Times New Roman"/>
        </w:rPr>
      </w:pPr>
      <w:r w:rsidRPr="00F5027B">
        <w:rPr>
          <w:rFonts w:ascii="Times New Roman" w:hAnsi="Times New Roman"/>
        </w:rPr>
        <w:t xml:space="preserve">  </w:t>
      </w:r>
    </w:p>
    <w:p w:rsidR="00491628" w:rsidRPr="00B505EA" w:rsidRDefault="00491628" w:rsidP="00491628">
      <w:pPr>
        <w:spacing w:after="0" w:line="360" w:lineRule="auto"/>
        <w:ind w:firstLine="708"/>
        <w:jc w:val="both"/>
        <w:rPr>
          <w:rFonts w:ascii="Times New Roman" w:hAnsi="Times New Roman"/>
          <w:sz w:val="24"/>
          <w:szCs w:val="24"/>
        </w:rPr>
      </w:pPr>
      <w:r w:rsidRPr="00B505EA">
        <w:rPr>
          <w:rFonts w:ascii="Times New Roman" w:hAnsi="Times New Roman"/>
          <w:sz w:val="24"/>
          <w:szCs w:val="24"/>
        </w:rPr>
        <w:t>Sempre houve tendência a encarar as mulheres que foram punidas publicamente pelo Estado por seu “mau comportamento” como significativamente mais “anormais” e muito mais ameaçadoras para a sociedade do que suas numerosas contrapartes masculinas (DAVIS, 2018).</w:t>
      </w:r>
    </w:p>
    <w:p w:rsidR="00E17A0D" w:rsidRDefault="00E17A0D" w:rsidP="00E17A0D">
      <w:pPr>
        <w:spacing w:after="0" w:line="360" w:lineRule="auto"/>
        <w:ind w:firstLine="709"/>
        <w:contextualSpacing/>
        <w:jc w:val="both"/>
        <w:rPr>
          <w:rFonts w:ascii="Times New Roman" w:hAnsi="Times New Roman"/>
          <w:sz w:val="24"/>
          <w:szCs w:val="24"/>
        </w:rPr>
      </w:pPr>
      <w:r w:rsidRPr="00E17A0D">
        <w:rPr>
          <w:rFonts w:ascii="Times New Roman" w:hAnsi="Times New Roman"/>
          <w:sz w:val="24"/>
          <w:szCs w:val="24"/>
        </w:rPr>
        <w:t>Nessa lógica de dominação e subversão, a</w:t>
      </w:r>
      <w:r w:rsidR="00491628" w:rsidRPr="00E17A0D">
        <w:rPr>
          <w:rFonts w:ascii="Times New Roman" w:hAnsi="Times New Roman"/>
          <w:sz w:val="24"/>
          <w:szCs w:val="24"/>
        </w:rPr>
        <w:t>s criminalizadas o eram, em geral, pelo seu comportamento não adequado à figura do feminino e o poder do Estado, através de uma atitude patriarcal, buscava mecanismos para a “educar” as “desajustadas sociais”. O controle punitivo ganhou força na primeira metade do século XX com novas teorias sobre a criminalidade da mulher, quase todas ligadas à “moralidade”, e com a criação de tipos penais específicos para controlar as que não seguiam ao padrão desejado. Como as mulheres eram consideradas menos evoluídas e mais frágeis, o cometimento do crime era ligado à educação e não a violência, portanto o tratamento de “criminosas” deveria ser distinto do caso dos homens. Elas precisavam receber do Estado a formação que não haviam recebido do pai</w:t>
      </w:r>
      <w:r w:rsidRPr="00E17A0D">
        <w:rPr>
          <w:rFonts w:ascii="Times New Roman" w:hAnsi="Times New Roman"/>
          <w:sz w:val="24"/>
          <w:szCs w:val="24"/>
        </w:rPr>
        <w:t xml:space="preserve"> (FARIA, 2013)</w:t>
      </w:r>
      <w:r w:rsidR="00491628" w:rsidRPr="00E17A0D">
        <w:rPr>
          <w:rFonts w:ascii="Times New Roman" w:hAnsi="Times New Roman"/>
          <w:sz w:val="24"/>
          <w:szCs w:val="24"/>
        </w:rPr>
        <w:t>.</w:t>
      </w:r>
    </w:p>
    <w:p w:rsidR="00E17A0D" w:rsidRDefault="00491628" w:rsidP="00E17A0D">
      <w:pPr>
        <w:spacing w:after="0"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Ao se pensar no “Ser Mulher”, comumente, tem-se a imagem construída a partir da visão de que mulheres têm uma natureza única e que são possuidoras de uma “bondade ontológica”. Esta concepção acerca das mulheres tem como corolário a visão destas como “vítimas do destino”. Desta forma, historicamente, a figura da mulher foi colocada em um patamar de submissão, repressão e/ou vitimização, quando se fala em situações de violência (SILVA, 2008).</w:t>
      </w:r>
    </w:p>
    <w:p w:rsidR="00491628" w:rsidRPr="00E17A0D" w:rsidRDefault="00491628" w:rsidP="009E72DC">
      <w:pPr>
        <w:spacing w:after="0" w:line="360" w:lineRule="auto"/>
        <w:ind w:firstLine="709"/>
        <w:contextualSpacing/>
        <w:jc w:val="both"/>
        <w:rPr>
          <w:rFonts w:ascii="Times New Roman" w:hAnsi="Times New Roman"/>
          <w:color w:val="000000" w:themeColor="text1"/>
          <w:sz w:val="24"/>
          <w:szCs w:val="24"/>
        </w:rPr>
      </w:pPr>
      <w:r>
        <w:rPr>
          <w:rFonts w:ascii="Times New Roman" w:hAnsi="Times New Roman"/>
          <w:sz w:val="24"/>
          <w:szCs w:val="24"/>
        </w:rPr>
        <w:t xml:space="preserve">Davis (2018) assevera que quando consideramos o impacto da classe e da raça, podemos dizer que, para as mulheres brancas e ricas, essa equalização tende a servir como evidência de transtornos emocionais e mentais, mas para as mulheres negras e pobres, isso indica criminalidade. </w:t>
      </w:r>
    </w:p>
    <w:p w:rsidR="00491628" w:rsidRDefault="00491628" w:rsidP="009E72DC">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 xml:space="preserve">Violências psicológicas, físicas e morais são comumente relatadas pelas presas; o abuso sexual cometido pelos guardas nas prisões é traduzido em </w:t>
      </w:r>
      <w:proofErr w:type="spellStart"/>
      <w:r>
        <w:rPr>
          <w:rFonts w:ascii="Times New Roman" w:hAnsi="Times New Roman"/>
          <w:sz w:val="24"/>
          <w:szCs w:val="24"/>
        </w:rPr>
        <w:t>hipersexualidade</w:t>
      </w:r>
      <w:proofErr w:type="spellEnd"/>
      <w:r>
        <w:rPr>
          <w:rFonts w:ascii="Times New Roman" w:hAnsi="Times New Roman"/>
          <w:sz w:val="24"/>
          <w:szCs w:val="24"/>
        </w:rPr>
        <w:t xml:space="preserve"> das prisioneiras (DAVIS, 2018). A ideia de que os “desvios” femininos sempre tem uma dimensão sexual persiste em nossa época, e essa intersecção de criminalidade e sexualidade continua a ser </w:t>
      </w:r>
      <w:proofErr w:type="spellStart"/>
      <w:r>
        <w:rPr>
          <w:rFonts w:ascii="Times New Roman" w:hAnsi="Times New Roman"/>
          <w:sz w:val="24"/>
          <w:szCs w:val="24"/>
        </w:rPr>
        <w:t>racializada</w:t>
      </w:r>
      <w:proofErr w:type="spellEnd"/>
      <w:r>
        <w:rPr>
          <w:rFonts w:ascii="Times New Roman" w:hAnsi="Times New Roman"/>
          <w:sz w:val="24"/>
          <w:szCs w:val="24"/>
        </w:rPr>
        <w:t xml:space="preserve"> (DAVIS, 2018).</w:t>
      </w:r>
    </w:p>
    <w:p w:rsidR="00491628" w:rsidRDefault="00491628" w:rsidP="00491628">
      <w:pPr>
        <w:pStyle w:val="PargrafodaLista"/>
        <w:spacing w:before="240" w:line="360" w:lineRule="auto"/>
        <w:ind w:left="0" w:firstLine="708"/>
        <w:jc w:val="both"/>
        <w:rPr>
          <w:rFonts w:ascii="Times New Roman" w:hAnsi="Times New Roman"/>
          <w:sz w:val="24"/>
          <w:szCs w:val="24"/>
        </w:rPr>
      </w:pPr>
      <w:proofErr w:type="spellStart"/>
      <w:r>
        <w:rPr>
          <w:rFonts w:ascii="Times New Roman" w:hAnsi="Times New Roman"/>
          <w:sz w:val="24"/>
          <w:szCs w:val="24"/>
        </w:rPr>
        <w:t>Angela</w:t>
      </w:r>
      <w:proofErr w:type="spellEnd"/>
      <w:r>
        <w:rPr>
          <w:rFonts w:ascii="Times New Roman" w:hAnsi="Times New Roman"/>
          <w:sz w:val="24"/>
          <w:szCs w:val="24"/>
        </w:rPr>
        <w:t xml:space="preserve"> Davis destaca que:</w:t>
      </w:r>
    </w:p>
    <w:p w:rsidR="00491628" w:rsidRPr="00E17A0D" w:rsidRDefault="00491628" w:rsidP="00491628">
      <w:pPr>
        <w:pStyle w:val="PargrafodaLista"/>
        <w:spacing w:before="240" w:line="240" w:lineRule="auto"/>
        <w:ind w:left="2268"/>
        <w:jc w:val="both"/>
        <w:rPr>
          <w:rFonts w:ascii="Times New Roman" w:hAnsi="Times New Roman"/>
          <w:sz w:val="20"/>
          <w:szCs w:val="20"/>
        </w:rPr>
      </w:pPr>
      <w:r w:rsidRPr="00E17A0D">
        <w:rPr>
          <w:rFonts w:ascii="Times New Roman" w:hAnsi="Times New Roman"/>
          <w:sz w:val="20"/>
          <w:szCs w:val="20"/>
        </w:rPr>
        <w:t>A escravidão se sustentava tanto na rotina do abuso sexual quanto no tronco e no açoite. Impulsos sexuais excessivos, existentes ou não entre os homens brancos como indivíduos, não tinham nenhuma relação com essa verdadeira institucionalização do estupro. A coerção sexual, em vez disso, era uma dimensão essencial das relações sociais entre o senhor e a escrava. Em outras palavras, o direito alegado pelos proprietários e seus agentes sobre o corpo das escravas era uma expressão direta de seu suposto direito de propriedade sobre pessoas negras como um todo (DAVIS, 2016, p. 180).</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As violações pelas quais mulheres e, especialmente, as mulheres negras sofrem, têm raízes na escravidão, na construção de sociedades racistas e machistas, de que a mulher é um objeto, ou de que a mulher não possui identidade sem a presença masculina. Rita </w:t>
      </w:r>
      <w:proofErr w:type="spellStart"/>
      <w:r>
        <w:rPr>
          <w:rFonts w:ascii="Times New Roman" w:hAnsi="Times New Roman"/>
          <w:sz w:val="24"/>
          <w:szCs w:val="24"/>
        </w:rPr>
        <w:t>Segato</w:t>
      </w:r>
      <w:proofErr w:type="spellEnd"/>
      <w:r>
        <w:rPr>
          <w:rFonts w:ascii="Times New Roman" w:hAnsi="Times New Roman"/>
          <w:sz w:val="24"/>
          <w:szCs w:val="24"/>
        </w:rPr>
        <w:t xml:space="preserve"> destaca:</w:t>
      </w:r>
    </w:p>
    <w:p w:rsidR="00491628" w:rsidRPr="007D46AF" w:rsidRDefault="00491628" w:rsidP="00491628">
      <w:pPr>
        <w:spacing w:after="0" w:line="240" w:lineRule="auto"/>
        <w:ind w:left="2268"/>
        <w:contextualSpacing/>
        <w:jc w:val="both"/>
        <w:rPr>
          <w:rFonts w:ascii="Times New Roman" w:hAnsi="Times New Roman"/>
          <w:sz w:val="20"/>
          <w:szCs w:val="20"/>
        </w:rPr>
      </w:pPr>
      <w:r w:rsidRPr="007D46AF">
        <w:rPr>
          <w:rFonts w:ascii="Times New Roman" w:hAnsi="Times New Roman"/>
          <w:sz w:val="20"/>
          <w:szCs w:val="20"/>
        </w:rPr>
        <w:t>Por minha parte, afirmo que os gêneros constituem a emanação, por meio da sua encarnação em atores sociais ou personagens míticos, de posições numa estrutura abstrata de relações que implica uma ordenação hierárquica do mundo e contém a semente das relações de poder na sociedade. Eles seriam, deste ponto de vista, transposições da ordem cognitiva à ordem empírica. Poderia se dizer que a estrutura, a partir da primeira cena em que participamos (a cena familiar - ou substituta - primigênia, não importa a cultura de que se trate ou o grau de desvio em relação ao padrão social numa cultura particular) se transveste de gênero, emerge nas caracterizações secundárias com os traços do homem e a mulher, e nos seus papéis característicos (SEGATO, 1998, p.3)</w:t>
      </w:r>
      <w:r w:rsidRPr="007D46AF">
        <w:rPr>
          <w:sz w:val="20"/>
          <w:szCs w:val="20"/>
        </w:rPr>
        <w:t>.</w:t>
      </w:r>
      <w:r w:rsidRPr="007D46AF">
        <w:rPr>
          <w:rFonts w:ascii="Times New Roman" w:hAnsi="Times New Roman"/>
          <w:sz w:val="20"/>
          <w:szCs w:val="20"/>
        </w:rPr>
        <w:t xml:space="preserve"> </w:t>
      </w:r>
    </w:p>
    <w:p w:rsidR="00491628" w:rsidRDefault="00491628" w:rsidP="00491628">
      <w:pPr>
        <w:spacing w:after="0" w:line="360" w:lineRule="auto"/>
        <w:ind w:firstLine="709"/>
        <w:contextualSpacing/>
        <w:jc w:val="both"/>
        <w:rPr>
          <w:rFonts w:ascii="Times New Roman" w:hAnsi="Times New Roman"/>
          <w:sz w:val="24"/>
          <w:szCs w:val="24"/>
        </w:rPr>
      </w:pPr>
    </w:p>
    <w:p w:rsidR="00491628" w:rsidRDefault="00491628" w:rsidP="00491628">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Nessa perspectiva, </w:t>
      </w:r>
      <w:proofErr w:type="spellStart"/>
      <w:r>
        <w:rPr>
          <w:rFonts w:ascii="Times New Roman" w:hAnsi="Times New Roman"/>
          <w:sz w:val="24"/>
          <w:szCs w:val="24"/>
        </w:rPr>
        <w:t>Mírian</w:t>
      </w:r>
      <w:proofErr w:type="spellEnd"/>
      <w:r>
        <w:rPr>
          <w:rFonts w:ascii="Times New Roman" w:hAnsi="Times New Roman"/>
          <w:sz w:val="24"/>
          <w:szCs w:val="24"/>
        </w:rPr>
        <w:t xml:space="preserve"> </w:t>
      </w:r>
      <w:proofErr w:type="spellStart"/>
      <w:r>
        <w:rPr>
          <w:rFonts w:ascii="Times New Roman" w:hAnsi="Times New Roman"/>
          <w:sz w:val="24"/>
          <w:szCs w:val="24"/>
        </w:rPr>
        <w:t>Zafalon</w:t>
      </w:r>
      <w:proofErr w:type="spellEnd"/>
      <w:r>
        <w:rPr>
          <w:rFonts w:ascii="Times New Roman" w:hAnsi="Times New Roman"/>
          <w:sz w:val="24"/>
          <w:szCs w:val="24"/>
        </w:rPr>
        <w:t xml:space="preserve"> destaca que:</w:t>
      </w:r>
    </w:p>
    <w:p w:rsidR="00491628" w:rsidRPr="007D46AF" w:rsidRDefault="00491628" w:rsidP="00491628">
      <w:pPr>
        <w:spacing w:after="0" w:line="240" w:lineRule="auto"/>
        <w:ind w:left="2268"/>
        <w:contextualSpacing/>
        <w:jc w:val="both"/>
        <w:rPr>
          <w:rFonts w:ascii="Times New Roman" w:hAnsi="Times New Roman"/>
          <w:sz w:val="20"/>
          <w:szCs w:val="20"/>
        </w:rPr>
      </w:pPr>
      <w:r w:rsidRPr="007D46AF">
        <w:rPr>
          <w:rFonts w:ascii="Times New Roman" w:hAnsi="Times New Roman"/>
          <w:sz w:val="20"/>
          <w:szCs w:val="20"/>
        </w:rPr>
        <w:t xml:space="preserve">Graças a </w:t>
      </w:r>
      <w:proofErr w:type="spellStart"/>
      <w:r w:rsidRPr="007D46AF">
        <w:rPr>
          <w:rFonts w:ascii="Times New Roman" w:hAnsi="Times New Roman"/>
          <w:sz w:val="20"/>
          <w:szCs w:val="20"/>
        </w:rPr>
        <w:t>Butler</w:t>
      </w:r>
      <w:proofErr w:type="spellEnd"/>
      <w:r w:rsidRPr="007D46AF">
        <w:rPr>
          <w:rFonts w:ascii="Times New Roman" w:hAnsi="Times New Roman"/>
          <w:sz w:val="20"/>
          <w:szCs w:val="20"/>
        </w:rPr>
        <w:t xml:space="preserve"> e a outras feministas a mobilização contra a dominação masculina ocupa espaço em vários lugares onde há, na contemporaneidade, repressão à mulher </w:t>
      </w:r>
      <w:r w:rsidRPr="007D46AF">
        <w:rPr>
          <w:rFonts w:ascii="Times New Roman" w:hAnsi="Times New Roman"/>
          <w:sz w:val="20"/>
          <w:szCs w:val="20"/>
        </w:rPr>
        <w:lastRenderedPageBreak/>
        <w:t xml:space="preserve">e desigualdade entre os sexos. Entretanto, o papel de mulher-vítima não é pertinente e nem propício para rechaçar as discriminações e violências contra as mulheres, uma vez que </w:t>
      </w:r>
      <w:proofErr w:type="spellStart"/>
      <w:r w:rsidRPr="007D46AF">
        <w:rPr>
          <w:rFonts w:ascii="Times New Roman" w:hAnsi="Times New Roman"/>
          <w:sz w:val="20"/>
          <w:szCs w:val="20"/>
        </w:rPr>
        <w:t>vitimizá-las</w:t>
      </w:r>
      <w:proofErr w:type="spellEnd"/>
      <w:r w:rsidRPr="007D46AF">
        <w:rPr>
          <w:rFonts w:ascii="Times New Roman" w:hAnsi="Times New Roman"/>
          <w:sz w:val="20"/>
          <w:szCs w:val="20"/>
        </w:rPr>
        <w:t xml:space="preserve">, fazendo-as parecer mais frágeis do que realmente são, reitera a hegemonia masculina. Quando as mulheres aceitam o posto de vítimas da situação, injustiçadas pelos desmandos masculinos, são capazes de abrir mão de sua autonomia e emancipação, movidas pela ideia de uma “natureza feminina”. Contra a dominação e a vitimização surge a ideia pós-moderna de desconstrução das perspectivas de identidade, destacando-se a subjetividade feminina em detrimento dos conceitos essencialistas de sujeito (ZAFALON, 2014, p. 4). </w:t>
      </w:r>
    </w:p>
    <w:p w:rsidR="00491628" w:rsidRDefault="00491628" w:rsidP="00491628">
      <w:pPr>
        <w:spacing w:after="0" w:line="360" w:lineRule="auto"/>
        <w:ind w:firstLine="709"/>
        <w:contextualSpacing/>
        <w:jc w:val="both"/>
        <w:rPr>
          <w:rFonts w:ascii="Times New Roman" w:hAnsi="Times New Roman"/>
          <w:sz w:val="24"/>
          <w:szCs w:val="24"/>
        </w:rPr>
      </w:pPr>
    </w:p>
    <w:p w:rsidR="00491628" w:rsidRPr="0077227B" w:rsidRDefault="00491628" w:rsidP="00491628">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A ótica de identidade </w:t>
      </w:r>
      <w:r w:rsidRPr="0076038A">
        <w:rPr>
          <w:rFonts w:ascii="Times New Roman" w:hAnsi="Times New Roman"/>
          <w:sz w:val="24"/>
          <w:szCs w:val="24"/>
        </w:rPr>
        <w:t xml:space="preserve">é um fator construído paulatinamente, no interior do discurso e que obedece a hierarquia de poder. Sendo assim, o discurso </w:t>
      </w:r>
      <w:proofErr w:type="spellStart"/>
      <w:r w:rsidRPr="0076038A">
        <w:rPr>
          <w:rFonts w:ascii="Times New Roman" w:hAnsi="Times New Roman"/>
          <w:sz w:val="24"/>
          <w:szCs w:val="24"/>
        </w:rPr>
        <w:t>androcêntrico</w:t>
      </w:r>
      <w:proofErr w:type="spellEnd"/>
      <w:r w:rsidRPr="0076038A">
        <w:rPr>
          <w:rFonts w:ascii="Times New Roman" w:hAnsi="Times New Roman"/>
          <w:sz w:val="24"/>
          <w:szCs w:val="24"/>
        </w:rPr>
        <w:t xml:space="preserve"> produz um sentido específico para os gêneros, solidificando a divisão sexual do trabalho, estabelecendo diferenças que são “naturalizadas” arbitrariamente. A identidade feminina é constituída, portanto, a partir do ato de liderança e dominação do homem, conferindo à mulher, como resultado, a exclusão (ZAFALON, 2014).</w:t>
      </w:r>
    </w:p>
    <w:p w:rsidR="00491628" w:rsidRDefault="00491628" w:rsidP="00491628">
      <w:pPr>
        <w:spacing w:after="0" w:line="360" w:lineRule="auto"/>
        <w:ind w:firstLine="709"/>
        <w:contextualSpacing/>
        <w:jc w:val="both"/>
        <w:rPr>
          <w:rFonts w:ascii="Times New Roman" w:hAnsi="Times New Roman"/>
          <w:sz w:val="24"/>
          <w:szCs w:val="24"/>
        </w:rPr>
      </w:pPr>
      <w:r>
        <w:rPr>
          <w:rFonts w:ascii="Times New Roman" w:hAnsi="Times New Roman"/>
          <w:sz w:val="24"/>
          <w:szCs w:val="24"/>
        </w:rPr>
        <w:t>Dessa forma, os controles sociais, por diversas vezes, vão se pautando nessas bases estruturais. Diante disso, dados sobre a saúde da mulher, trazidos por Flauzina (2006), citando pesquisa de Sueli Carneiro, discorre:</w:t>
      </w:r>
    </w:p>
    <w:p w:rsidR="00491628" w:rsidRPr="007D46AF" w:rsidRDefault="00491628" w:rsidP="00491628">
      <w:pPr>
        <w:pStyle w:val="PargrafodaLista"/>
        <w:spacing w:after="0" w:line="240" w:lineRule="auto"/>
        <w:ind w:left="2268"/>
        <w:jc w:val="both"/>
        <w:rPr>
          <w:rFonts w:ascii="Times New Roman" w:hAnsi="Times New Roman"/>
          <w:sz w:val="20"/>
          <w:szCs w:val="20"/>
        </w:rPr>
      </w:pPr>
      <w:r w:rsidRPr="007D46AF">
        <w:rPr>
          <w:rFonts w:ascii="Times New Roman" w:hAnsi="Times New Roman"/>
          <w:sz w:val="20"/>
          <w:szCs w:val="20"/>
        </w:rPr>
        <w:t>O útero da mulher negra não tem valor, então qualquer mioma tem a indicação de retirada do útero. Souza aponta que as condutas médicas são diferentes diante de uma mulher se ela é negra ou se ela é branca. A conduta conservadora de uso de remédios ou expectantes é geralmente indicada para a mulher branca de qualquer classe social; ao contrário, para as mulheres negras, é indicada a histerectomia.</w:t>
      </w:r>
    </w:p>
    <w:p w:rsidR="00491628" w:rsidRDefault="00491628" w:rsidP="007D46AF">
      <w:pPr>
        <w:spacing w:after="0" w:line="360" w:lineRule="auto"/>
        <w:contextualSpacing/>
        <w:jc w:val="both"/>
        <w:rPr>
          <w:rFonts w:ascii="Times New Roman" w:hAnsi="Times New Roman"/>
          <w:sz w:val="20"/>
          <w:szCs w:val="20"/>
        </w:rPr>
      </w:pP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r>
      <w:r w:rsidR="007D46AF">
        <w:rPr>
          <w:rFonts w:ascii="Times New Roman" w:hAnsi="Times New Roman"/>
          <w:sz w:val="24"/>
          <w:szCs w:val="24"/>
        </w:rPr>
        <w:t>A</w:t>
      </w:r>
      <w:r>
        <w:rPr>
          <w:rFonts w:ascii="Times New Roman" w:hAnsi="Times New Roman"/>
          <w:sz w:val="24"/>
          <w:szCs w:val="24"/>
        </w:rPr>
        <w:t xml:space="preserve"> visão de que a mulher é mero objeto, passível de sofrer qualquer tipo de violação, apenas pela sua condição de ser mulher, sendo agravadas essas violações quando são mulheres negras</w:t>
      </w:r>
      <w:r w:rsidR="007D46AF">
        <w:rPr>
          <w:rFonts w:ascii="Times New Roman" w:hAnsi="Times New Roman"/>
          <w:sz w:val="24"/>
          <w:szCs w:val="24"/>
        </w:rPr>
        <w:t xml:space="preserve"> é estruturante de um sistema pautado na invisibilidade de sujeitos sociais subalternizados</w:t>
      </w:r>
      <w:r>
        <w:rPr>
          <w:rFonts w:ascii="Times New Roman" w:hAnsi="Times New Roman"/>
          <w:sz w:val="24"/>
          <w:szCs w:val="24"/>
        </w:rPr>
        <w:t>.</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Os direitos violados, seja a saúde, a educação ou o </w:t>
      </w:r>
      <w:r w:rsidR="007D46AF">
        <w:rPr>
          <w:rFonts w:ascii="Times New Roman" w:hAnsi="Times New Roman"/>
          <w:sz w:val="24"/>
          <w:szCs w:val="24"/>
        </w:rPr>
        <w:t xml:space="preserve">trabalho, influencia </w:t>
      </w:r>
      <w:r>
        <w:rPr>
          <w:rFonts w:ascii="Times New Roman" w:hAnsi="Times New Roman"/>
          <w:sz w:val="24"/>
          <w:szCs w:val="24"/>
        </w:rPr>
        <w:t xml:space="preserve">na forma como as mulheres viverão suas vidas, quanto maior for a </w:t>
      </w:r>
      <w:proofErr w:type="spellStart"/>
      <w:r>
        <w:rPr>
          <w:rFonts w:ascii="Times New Roman" w:hAnsi="Times New Roman"/>
          <w:sz w:val="24"/>
          <w:szCs w:val="24"/>
        </w:rPr>
        <w:t>interseccionalidade</w:t>
      </w:r>
      <w:proofErr w:type="spellEnd"/>
      <w:r>
        <w:rPr>
          <w:rFonts w:ascii="Times New Roman" w:hAnsi="Times New Roman"/>
          <w:sz w:val="24"/>
          <w:szCs w:val="24"/>
        </w:rPr>
        <w:t xml:space="preserve"> – o alcance das dimensões de gênero, raça e classe – maior será a vulnerabilidade da pessoa, segundo dados do </w:t>
      </w:r>
      <w:proofErr w:type="spellStart"/>
      <w:r>
        <w:rPr>
          <w:rFonts w:ascii="Times New Roman" w:hAnsi="Times New Roman"/>
          <w:sz w:val="24"/>
          <w:szCs w:val="24"/>
        </w:rPr>
        <w:t>Infopen</w:t>
      </w:r>
      <w:proofErr w:type="spellEnd"/>
      <w:r>
        <w:rPr>
          <w:rFonts w:ascii="Times New Roman" w:hAnsi="Times New Roman"/>
          <w:sz w:val="24"/>
          <w:szCs w:val="24"/>
        </w:rPr>
        <w:t xml:space="preserve">, 62% da população é composta por mulheres negras (BRASIL, 2018, p. 40). </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Davis (2018) afirma que estudos sobre prisões femininas em todo o mundo indicam que este abuso é uma forma de punição permanente, embora não reconhecida, à qual as mulheres que têm o infortúnio de serem mandadas para a prisão são submetidas.</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Dessa maneira, a combinação destrutiva de racismo e misoginia, reforça a atuação seletiva e </w:t>
      </w:r>
      <w:proofErr w:type="spellStart"/>
      <w:r>
        <w:rPr>
          <w:rFonts w:ascii="Times New Roman" w:hAnsi="Times New Roman"/>
          <w:sz w:val="24"/>
          <w:szCs w:val="24"/>
        </w:rPr>
        <w:t>punitivista</w:t>
      </w:r>
      <w:proofErr w:type="spellEnd"/>
      <w:r>
        <w:rPr>
          <w:rFonts w:ascii="Times New Roman" w:hAnsi="Times New Roman"/>
          <w:sz w:val="24"/>
          <w:szCs w:val="24"/>
        </w:rPr>
        <w:t xml:space="preserve"> do sistema de justiça criminal, mantendo todas as suas terríveis consequências nas prisões femininas (DAVIS, 2018).</w:t>
      </w: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ab/>
        <w:t>A</w:t>
      </w:r>
      <w:r w:rsidR="007D46AF">
        <w:rPr>
          <w:rFonts w:ascii="Times New Roman" w:hAnsi="Times New Roman"/>
          <w:sz w:val="24"/>
          <w:szCs w:val="24"/>
        </w:rPr>
        <w:t>inda nesse viés, destaca-se que a</w:t>
      </w:r>
      <w:r>
        <w:rPr>
          <w:rFonts w:ascii="Times New Roman" w:hAnsi="Times New Roman"/>
          <w:sz w:val="24"/>
          <w:szCs w:val="24"/>
        </w:rPr>
        <w:t xml:space="preserve"> perspectiva de gênero tem que ser analisada no sistema de justiça, Ela </w:t>
      </w:r>
      <w:proofErr w:type="spellStart"/>
      <w:r>
        <w:rPr>
          <w:rFonts w:ascii="Times New Roman" w:hAnsi="Times New Roman"/>
          <w:sz w:val="24"/>
          <w:szCs w:val="24"/>
        </w:rPr>
        <w:t>Wiecko</w:t>
      </w:r>
      <w:proofErr w:type="spellEnd"/>
      <w:r>
        <w:rPr>
          <w:rFonts w:ascii="Times New Roman" w:hAnsi="Times New Roman"/>
          <w:sz w:val="24"/>
          <w:szCs w:val="24"/>
        </w:rPr>
        <w:t xml:space="preserve"> e Carmen de Campos </w:t>
      </w:r>
      <w:r w:rsidR="007D46AF">
        <w:rPr>
          <w:rFonts w:ascii="Times New Roman" w:hAnsi="Times New Roman"/>
          <w:sz w:val="24"/>
          <w:szCs w:val="24"/>
        </w:rPr>
        <w:t>afirmam</w:t>
      </w:r>
      <w:r>
        <w:rPr>
          <w:rFonts w:ascii="Times New Roman" w:hAnsi="Times New Roman"/>
          <w:sz w:val="24"/>
          <w:szCs w:val="24"/>
        </w:rPr>
        <w:t xml:space="preserve"> que:</w:t>
      </w:r>
    </w:p>
    <w:p w:rsidR="00491628" w:rsidRPr="007D46AF" w:rsidRDefault="00491628" w:rsidP="00491628">
      <w:pPr>
        <w:spacing w:after="0" w:line="240" w:lineRule="auto"/>
        <w:ind w:left="2268"/>
        <w:contextualSpacing/>
        <w:jc w:val="both"/>
        <w:rPr>
          <w:rFonts w:ascii="Times New Roman" w:hAnsi="Times New Roman"/>
          <w:sz w:val="20"/>
          <w:szCs w:val="20"/>
        </w:rPr>
      </w:pPr>
      <w:r w:rsidRPr="007D46AF">
        <w:rPr>
          <w:rFonts w:ascii="Times New Roman" w:hAnsi="Times New Roman"/>
          <w:sz w:val="20"/>
          <w:szCs w:val="20"/>
        </w:rPr>
        <w:t>Para incorporar a perspectiva de gênero no sistema de justiça, não basta ter boa vontade, utilizar a expressão gênero ou meramente dizer que se está aplicando o gênero. É necessário levar em conta o contexto social e jurídico de cada país e diagnosticar as barreiras visíveis e invisíveis que obstaculizam o acesso igual das mulheres à justiça. Uma metodologia feminista, no campo do direito, implica analisar a aplicação da perspectiva baseada no gênero, na composição dos órgãos do sistema de justiça, na tomada de decisões das políticas institucionais, na elaboração legislativa, na investigação, processo e julgamento de casos em que as mulheres são autoras ou vítimas e, ainda, na interpretação (doutrina)</w:t>
      </w:r>
      <w:r w:rsidR="007D46AF" w:rsidRPr="007D46AF">
        <w:rPr>
          <w:rFonts w:ascii="Times New Roman" w:hAnsi="Times New Roman"/>
          <w:sz w:val="20"/>
          <w:szCs w:val="20"/>
        </w:rPr>
        <w:t xml:space="preserve"> (2018, p.8)</w:t>
      </w:r>
      <w:r w:rsidRPr="007D46AF">
        <w:rPr>
          <w:rFonts w:ascii="Times New Roman" w:hAnsi="Times New Roman"/>
          <w:sz w:val="20"/>
          <w:szCs w:val="20"/>
        </w:rPr>
        <w:t>.</w:t>
      </w:r>
    </w:p>
    <w:p w:rsidR="00491628" w:rsidRDefault="00491628" w:rsidP="00491628">
      <w:pPr>
        <w:spacing w:after="0" w:line="360" w:lineRule="auto"/>
        <w:contextualSpacing/>
        <w:jc w:val="both"/>
        <w:rPr>
          <w:rFonts w:ascii="Times New Roman" w:hAnsi="Times New Roman"/>
        </w:rPr>
      </w:pPr>
    </w:p>
    <w:p w:rsidR="00491628" w:rsidRDefault="00491628" w:rsidP="00491628">
      <w:pPr>
        <w:spacing w:after="0" w:line="360" w:lineRule="auto"/>
        <w:contextualSpacing/>
        <w:jc w:val="both"/>
        <w:rPr>
          <w:rFonts w:ascii="Times New Roman" w:hAnsi="Times New Roman"/>
          <w:sz w:val="24"/>
          <w:szCs w:val="24"/>
        </w:rPr>
      </w:pPr>
      <w:r>
        <w:rPr>
          <w:rFonts w:ascii="Times New Roman" w:hAnsi="Times New Roman"/>
        </w:rPr>
        <w:tab/>
      </w:r>
      <w:r>
        <w:rPr>
          <w:rFonts w:ascii="Times New Roman" w:hAnsi="Times New Roman"/>
          <w:sz w:val="24"/>
          <w:szCs w:val="24"/>
        </w:rPr>
        <w:t xml:space="preserve">Muito se fala sobre a perspectiva de gênero, mas, afinal, o que é gênero? Para responder a essa pergunta, </w:t>
      </w:r>
      <w:r w:rsidR="007D46AF">
        <w:rPr>
          <w:rFonts w:ascii="Times New Roman" w:hAnsi="Times New Roman"/>
          <w:sz w:val="24"/>
          <w:szCs w:val="24"/>
        </w:rPr>
        <w:t>utilizamos</w:t>
      </w:r>
      <w:r>
        <w:rPr>
          <w:rFonts w:ascii="Times New Roman" w:hAnsi="Times New Roman"/>
          <w:sz w:val="24"/>
          <w:szCs w:val="24"/>
        </w:rPr>
        <w:t xml:space="preserve"> das concepções de Ela </w:t>
      </w:r>
      <w:proofErr w:type="spellStart"/>
      <w:r>
        <w:rPr>
          <w:rFonts w:ascii="Times New Roman" w:hAnsi="Times New Roman"/>
          <w:sz w:val="24"/>
          <w:szCs w:val="24"/>
        </w:rPr>
        <w:t>Wiecko</w:t>
      </w:r>
      <w:proofErr w:type="spellEnd"/>
      <w:r>
        <w:rPr>
          <w:rFonts w:ascii="Times New Roman" w:hAnsi="Times New Roman"/>
          <w:sz w:val="24"/>
          <w:szCs w:val="24"/>
        </w:rPr>
        <w:t xml:space="preserve"> e Carmen Hein de Campos (2018, p. 3), as quais destacam a que associação sexo-gênero foi explicitada na Recomendação Geral 33 da Convenção sobre a eliminação de todas as formas de discriminação contra a mulher:</w:t>
      </w:r>
    </w:p>
    <w:p w:rsidR="00491628" w:rsidRPr="007D46AF" w:rsidRDefault="00491628" w:rsidP="00491628">
      <w:pPr>
        <w:spacing w:after="0" w:line="240" w:lineRule="auto"/>
        <w:ind w:left="2268"/>
        <w:contextualSpacing/>
        <w:jc w:val="both"/>
        <w:rPr>
          <w:rFonts w:ascii="Times New Roman" w:hAnsi="Times New Roman"/>
          <w:sz w:val="20"/>
          <w:szCs w:val="20"/>
        </w:rPr>
      </w:pPr>
      <w:r w:rsidRPr="007D46AF">
        <w:rPr>
          <w:rFonts w:ascii="Times New Roman" w:hAnsi="Times New Roman"/>
          <w:sz w:val="20"/>
          <w:szCs w:val="20"/>
        </w:rPr>
        <w:t>A associação sexo-gênero foi explicitada na Recomendação Geral 33, a qual no seu item 7 explica que “a discriminação pode ser dirigida contra as mulheres por motivo de sexo e gênero. Gênero refere-se a identidades, atributos e papéis socialmente construídos para mulheres e homens e ao significado cultural imposto pela sociedade às diferenças biológicas, que se reproduzem constantemente no sistema de justiça e suas instituições” (CEDAW, 2015).</w:t>
      </w:r>
    </w:p>
    <w:p w:rsidR="00491628" w:rsidRDefault="00491628" w:rsidP="00491628">
      <w:pPr>
        <w:spacing w:after="0" w:line="360" w:lineRule="auto"/>
        <w:ind w:left="2268"/>
        <w:contextualSpacing/>
        <w:jc w:val="both"/>
        <w:rPr>
          <w:rFonts w:ascii="Times New Roman" w:hAnsi="Times New Roman"/>
          <w:sz w:val="24"/>
          <w:szCs w:val="24"/>
        </w:rPr>
      </w:pPr>
      <w:r>
        <w:rPr>
          <w:rFonts w:ascii="Times New Roman" w:hAnsi="Times New Roman"/>
          <w:sz w:val="24"/>
          <w:szCs w:val="24"/>
        </w:rPr>
        <w:tab/>
      </w:r>
    </w:p>
    <w:p w:rsidR="00491628" w:rsidRPr="00B80C1E" w:rsidRDefault="007D46AF" w:rsidP="00491628">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Analisando sob a perspectiva </w:t>
      </w:r>
      <w:proofErr w:type="spellStart"/>
      <w:r>
        <w:rPr>
          <w:rFonts w:ascii="Times New Roman" w:hAnsi="Times New Roman"/>
          <w:sz w:val="24"/>
          <w:szCs w:val="24"/>
        </w:rPr>
        <w:t>decolonial</w:t>
      </w:r>
      <w:proofErr w:type="spellEnd"/>
      <w:r>
        <w:rPr>
          <w:rFonts w:ascii="Times New Roman" w:hAnsi="Times New Roman"/>
          <w:sz w:val="24"/>
          <w:szCs w:val="24"/>
        </w:rPr>
        <w:t xml:space="preserve">, </w:t>
      </w:r>
      <w:r w:rsidR="00491628" w:rsidRPr="00B80C1E">
        <w:rPr>
          <w:rFonts w:ascii="Times New Roman" w:hAnsi="Times New Roman"/>
          <w:sz w:val="24"/>
          <w:szCs w:val="24"/>
        </w:rPr>
        <w:t xml:space="preserve">Camila de Magalhães sustenta que: </w:t>
      </w:r>
    </w:p>
    <w:p w:rsidR="00491628" w:rsidRPr="007D46AF" w:rsidRDefault="00491628" w:rsidP="00491628">
      <w:pPr>
        <w:spacing w:after="0" w:line="240" w:lineRule="auto"/>
        <w:ind w:left="2268"/>
        <w:contextualSpacing/>
        <w:jc w:val="both"/>
        <w:rPr>
          <w:rFonts w:ascii="Times New Roman" w:hAnsi="Times New Roman"/>
          <w:color w:val="FF0000"/>
          <w:sz w:val="20"/>
          <w:szCs w:val="20"/>
        </w:rPr>
      </w:pPr>
      <w:r w:rsidRPr="007D46AF">
        <w:rPr>
          <w:rFonts w:ascii="Times New Roman" w:hAnsi="Times New Roman"/>
          <w:sz w:val="20"/>
          <w:szCs w:val="20"/>
        </w:rPr>
        <w:t xml:space="preserve">Assim, sustento que raça, sexo e gênero são categorias que devem ser examinadas em conjunto porque produzidas em conjunto e não apenas porque produzem estereótipos ou discriminações diferentes quando observadas em conjunto na experiência dos sujeitos. Desse modo, ainda que permaneça a dúvida sobre se “todas fazemos gênero?”, uma resposta preliminar é que, como atribuição de sentido aos corpos e suas funções reprodutivas, talvez sim, todas façamos. Mas que, como distribuição de poder binária hierarquizante, a resposta não é única ou rápida e é isso que também nos exige usar o gênero como categoria de análise </w:t>
      </w:r>
      <w:proofErr w:type="spellStart"/>
      <w:r w:rsidRPr="007D46AF">
        <w:rPr>
          <w:rFonts w:ascii="Times New Roman" w:hAnsi="Times New Roman"/>
          <w:sz w:val="20"/>
          <w:szCs w:val="20"/>
        </w:rPr>
        <w:t>decolonial</w:t>
      </w:r>
      <w:proofErr w:type="spellEnd"/>
      <w:r w:rsidRPr="007D46AF">
        <w:rPr>
          <w:rFonts w:ascii="Times New Roman" w:hAnsi="Times New Roman"/>
          <w:sz w:val="20"/>
          <w:szCs w:val="20"/>
        </w:rPr>
        <w:t xml:space="preserve">: como forma de investigar o que a </w:t>
      </w:r>
      <w:proofErr w:type="spellStart"/>
      <w:r w:rsidRPr="007D46AF">
        <w:rPr>
          <w:rFonts w:ascii="Times New Roman" w:hAnsi="Times New Roman"/>
          <w:sz w:val="20"/>
          <w:szCs w:val="20"/>
        </w:rPr>
        <w:t>colonialidade</w:t>
      </w:r>
      <w:proofErr w:type="spellEnd"/>
      <w:r w:rsidRPr="007D46AF">
        <w:rPr>
          <w:rFonts w:ascii="Times New Roman" w:hAnsi="Times New Roman"/>
          <w:sz w:val="20"/>
          <w:szCs w:val="20"/>
        </w:rPr>
        <w:t xml:space="preserve"> do gênero apagou, destruiu ou </w:t>
      </w:r>
      <w:proofErr w:type="spellStart"/>
      <w:r w:rsidRPr="007D46AF">
        <w:rPr>
          <w:rFonts w:ascii="Times New Roman" w:hAnsi="Times New Roman"/>
          <w:sz w:val="20"/>
          <w:szCs w:val="20"/>
        </w:rPr>
        <w:t>invisibilizou</w:t>
      </w:r>
      <w:proofErr w:type="spellEnd"/>
      <w:r w:rsidRPr="007D46AF">
        <w:rPr>
          <w:rFonts w:ascii="Times New Roman" w:hAnsi="Times New Roman"/>
          <w:sz w:val="20"/>
          <w:szCs w:val="20"/>
        </w:rPr>
        <w:t xml:space="preserve"> e como as noções de gênero da modernidade colonial que hoje discutimos ou combatemos são construções que usam da raça e do sexo de modo articulado para preencher a oposição entre humanos e não-humanos (MAGALHÃES, 2018, p. 77).</w:t>
      </w:r>
    </w:p>
    <w:p w:rsidR="00491628" w:rsidRDefault="00491628" w:rsidP="00491628">
      <w:pPr>
        <w:spacing w:after="0" w:line="360" w:lineRule="auto"/>
        <w:ind w:firstLine="708"/>
        <w:contextualSpacing/>
        <w:jc w:val="both"/>
        <w:rPr>
          <w:rFonts w:ascii="Times New Roman" w:hAnsi="Times New Roman"/>
          <w:sz w:val="24"/>
          <w:szCs w:val="24"/>
        </w:rPr>
      </w:pPr>
    </w:p>
    <w:p w:rsidR="00491628" w:rsidRDefault="00491628" w:rsidP="00491628">
      <w:pPr>
        <w:spacing w:after="0" w:line="360" w:lineRule="auto"/>
        <w:ind w:firstLine="708"/>
        <w:contextualSpacing/>
        <w:jc w:val="both"/>
        <w:rPr>
          <w:rFonts w:ascii="Times New Roman" w:hAnsi="Times New Roman"/>
          <w:sz w:val="24"/>
          <w:szCs w:val="24"/>
        </w:rPr>
      </w:pPr>
      <w:r>
        <w:rPr>
          <w:rFonts w:ascii="Times New Roman" w:hAnsi="Times New Roman"/>
          <w:sz w:val="24"/>
          <w:szCs w:val="24"/>
        </w:rPr>
        <w:t>Sendo assim, diante desse conceito de gênero, não é difícil entender o papel atribuído às mulheres, pensadas e repensadas em segundo plano, o gênero estrutura o sistema prisional.</w:t>
      </w:r>
    </w:p>
    <w:p w:rsidR="00491628" w:rsidRDefault="00491628" w:rsidP="00491628">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 Davis destaca (2018, p. 70):</w:t>
      </w:r>
    </w:p>
    <w:p w:rsidR="00491628" w:rsidRPr="007D46AF" w:rsidRDefault="00491628" w:rsidP="00491628">
      <w:pPr>
        <w:spacing w:after="0" w:line="240" w:lineRule="auto"/>
        <w:ind w:left="2268"/>
        <w:contextualSpacing/>
        <w:jc w:val="both"/>
        <w:rPr>
          <w:rFonts w:ascii="Times New Roman" w:hAnsi="Times New Roman"/>
          <w:sz w:val="20"/>
          <w:szCs w:val="20"/>
        </w:rPr>
      </w:pPr>
      <w:r w:rsidRPr="007D46AF">
        <w:rPr>
          <w:rFonts w:ascii="Times New Roman" w:hAnsi="Times New Roman"/>
          <w:sz w:val="20"/>
          <w:szCs w:val="20"/>
        </w:rPr>
        <w:t xml:space="preserve">Apesar da disponibilidade de retratos detalhados da vida em prisões femininas, tem sido extremamente difícil persuadir o público – e até mesmo, por vezes, os ativistas </w:t>
      </w:r>
      <w:proofErr w:type="spellStart"/>
      <w:r w:rsidRPr="007D46AF">
        <w:rPr>
          <w:rFonts w:ascii="Times New Roman" w:hAnsi="Times New Roman"/>
          <w:sz w:val="20"/>
          <w:szCs w:val="20"/>
        </w:rPr>
        <w:t>antiprisionais</w:t>
      </w:r>
      <w:proofErr w:type="spellEnd"/>
      <w:r w:rsidRPr="007D46AF">
        <w:rPr>
          <w:rFonts w:ascii="Times New Roman" w:hAnsi="Times New Roman"/>
          <w:sz w:val="20"/>
          <w:szCs w:val="20"/>
        </w:rPr>
        <w:t xml:space="preserve"> que se preocupam sobretudo com </w:t>
      </w:r>
      <w:proofErr w:type="gramStart"/>
      <w:r w:rsidRPr="007D46AF">
        <w:rPr>
          <w:rFonts w:ascii="Times New Roman" w:hAnsi="Times New Roman"/>
          <w:sz w:val="20"/>
          <w:szCs w:val="20"/>
        </w:rPr>
        <w:t>as dificuldade</w:t>
      </w:r>
      <w:proofErr w:type="gramEnd"/>
      <w:r w:rsidRPr="007D46AF">
        <w:rPr>
          <w:rFonts w:ascii="Times New Roman" w:hAnsi="Times New Roman"/>
          <w:sz w:val="20"/>
          <w:szCs w:val="20"/>
        </w:rPr>
        <w:t xml:space="preserve"> dos prisioneiros do sexo masculino – sobre a centralidade do gênero na compreensão do sistema de punição estatal.</w:t>
      </w:r>
    </w:p>
    <w:p w:rsidR="00491628" w:rsidRPr="007658E3" w:rsidRDefault="00491628" w:rsidP="00491628">
      <w:pPr>
        <w:spacing w:after="0" w:line="360" w:lineRule="auto"/>
        <w:contextualSpacing/>
        <w:jc w:val="both"/>
        <w:rPr>
          <w:rFonts w:ascii="Times New Roman" w:hAnsi="Times New Roman"/>
          <w:sz w:val="24"/>
          <w:szCs w:val="24"/>
        </w:rPr>
      </w:pPr>
    </w:p>
    <w:p w:rsidR="00491628" w:rsidRPr="002E3B50" w:rsidRDefault="00491628" w:rsidP="00491628">
      <w:pPr>
        <w:spacing w:after="0" w:line="360" w:lineRule="auto"/>
        <w:contextualSpacing/>
        <w:jc w:val="both"/>
        <w:rPr>
          <w:rFonts w:ascii="Times New Roman" w:hAnsi="Times New Roman"/>
          <w:sz w:val="24"/>
          <w:szCs w:val="24"/>
        </w:rPr>
      </w:pPr>
      <w:r w:rsidRPr="002E3B50">
        <w:rPr>
          <w:rFonts w:ascii="Times New Roman" w:hAnsi="Times New Roman"/>
          <w:sz w:val="24"/>
          <w:szCs w:val="24"/>
        </w:rPr>
        <w:lastRenderedPageBreak/>
        <w:tab/>
        <w:t xml:space="preserve">Ela </w:t>
      </w:r>
      <w:proofErr w:type="spellStart"/>
      <w:r w:rsidRPr="002E3B50">
        <w:rPr>
          <w:rFonts w:ascii="Times New Roman" w:hAnsi="Times New Roman"/>
          <w:sz w:val="24"/>
          <w:szCs w:val="24"/>
        </w:rPr>
        <w:t>Wiecko</w:t>
      </w:r>
      <w:proofErr w:type="spellEnd"/>
      <w:r w:rsidRPr="002E3B50">
        <w:rPr>
          <w:rFonts w:ascii="Times New Roman" w:hAnsi="Times New Roman"/>
          <w:sz w:val="24"/>
          <w:szCs w:val="24"/>
        </w:rPr>
        <w:t xml:space="preserve"> e Carmen de Campos</w:t>
      </w:r>
      <w:r>
        <w:rPr>
          <w:rFonts w:ascii="Times New Roman" w:hAnsi="Times New Roman"/>
          <w:sz w:val="24"/>
          <w:szCs w:val="24"/>
        </w:rPr>
        <w:t>,</w:t>
      </w:r>
      <w:r w:rsidRPr="002E3B50">
        <w:rPr>
          <w:rFonts w:ascii="Times New Roman" w:hAnsi="Times New Roman"/>
          <w:sz w:val="24"/>
          <w:szCs w:val="24"/>
        </w:rPr>
        <w:t xml:space="preserve"> ao discorrerem sobre a implementação da perspectiva de gênero na legislação e nas políticas</w:t>
      </w:r>
      <w:r>
        <w:rPr>
          <w:rFonts w:ascii="Times New Roman" w:hAnsi="Times New Roman"/>
          <w:sz w:val="24"/>
          <w:szCs w:val="24"/>
        </w:rPr>
        <w:t>,</w:t>
      </w:r>
      <w:r w:rsidRPr="002E3B50">
        <w:rPr>
          <w:rFonts w:ascii="Times New Roman" w:hAnsi="Times New Roman"/>
          <w:sz w:val="24"/>
          <w:szCs w:val="24"/>
        </w:rPr>
        <w:t xml:space="preserve"> ressaltam (2018, p. 5):</w:t>
      </w:r>
    </w:p>
    <w:p w:rsidR="00491628" w:rsidRPr="004F6644" w:rsidRDefault="00491628" w:rsidP="00491628">
      <w:pPr>
        <w:spacing w:after="0" w:line="240" w:lineRule="auto"/>
        <w:ind w:left="2268"/>
        <w:contextualSpacing/>
        <w:jc w:val="both"/>
        <w:rPr>
          <w:rFonts w:ascii="Times New Roman" w:hAnsi="Times New Roman"/>
          <w:sz w:val="20"/>
          <w:szCs w:val="20"/>
        </w:rPr>
      </w:pPr>
      <w:r w:rsidRPr="004F6644">
        <w:rPr>
          <w:rFonts w:ascii="Times New Roman" w:hAnsi="Times New Roman"/>
          <w:sz w:val="20"/>
          <w:szCs w:val="20"/>
        </w:rPr>
        <w:t>Com efeito, não é fácil a tarefa de incorporar uma perspectiva de gênero na elaboração, na execução e na avaliação de políticas públicas. Não se trata apenas de contemplar as demandas das mulheres, mas de ter presente o aspecto relacional e estrutural da desigualdade entre mulheres e homens para construir as soluções a fim de alcançar a equidade.</w:t>
      </w:r>
    </w:p>
    <w:p w:rsidR="00491628" w:rsidRDefault="00491628" w:rsidP="00491628">
      <w:pPr>
        <w:spacing w:after="0" w:line="240" w:lineRule="auto"/>
        <w:ind w:left="1701"/>
        <w:contextualSpacing/>
        <w:jc w:val="both"/>
        <w:rPr>
          <w:rFonts w:ascii="Times New Roman" w:hAnsi="Times New Roman"/>
        </w:rPr>
      </w:pPr>
    </w:p>
    <w:p w:rsidR="003E2CB2" w:rsidRDefault="00491628" w:rsidP="00491628">
      <w:pPr>
        <w:spacing w:after="0" w:line="360" w:lineRule="auto"/>
        <w:contextualSpacing/>
        <w:jc w:val="both"/>
        <w:rPr>
          <w:rFonts w:ascii="Times New Roman" w:hAnsi="Times New Roman"/>
          <w:sz w:val="24"/>
          <w:szCs w:val="24"/>
        </w:rPr>
      </w:pPr>
      <w:r>
        <w:rPr>
          <w:rFonts w:ascii="Times New Roman" w:hAnsi="Times New Roman"/>
          <w:sz w:val="24"/>
          <w:szCs w:val="24"/>
        </w:rPr>
        <w:tab/>
        <w:t>A dificuldade de</w:t>
      </w:r>
      <w:r w:rsidR="003E2CB2">
        <w:rPr>
          <w:rFonts w:ascii="Times New Roman" w:hAnsi="Times New Roman"/>
          <w:sz w:val="24"/>
          <w:szCs w:val="24"/>
        </w:rPr>
        <w:t xml:space="preserve"> analisar a perspectiva de gênero </w:t>
      </w:r>
      <w:r>
        <w:rPr>
          <w:rFonts w:ascii="Times New Roman" w:hAnsi="Times New Roman"/>
          <w:sz w:val="24"/>
          <w:szCs w:val="24"/>
        </w:rPr>
        <w:t>tem viés estrutural e cultural da sociedade; a desigualdade ainda é visível, quando alguém se propõe a pesquisar o sistema prisional, especificamente, o feminino, deve ter em vista a perspectiva de gênero, assim como a perspectiva de raça.</w:t>
      </w:r>
      <w:r w:rsidR="00EC5205">
        <w:rPr>
          <w:rFonts w:ascii="Times New Roman" w:hAnsi="Times New Roman"/>
          <w:sz w:val="24"/>
          <w:szCs w:val="24"/>
        </w:rPr>
        <w:t xml:space="preserve"> </w:t>
      </w:r>
    </w:p>
    <w:p w:rsidR="00491628" w:rsidRDefault="00491628" w:rsidP="003E2C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No cenário brasileiro diante de dados e estudos realizados sobre as prisões, é notória a disparidade entre brancos e negros no cárcere, bem como as demandas de homens e mulheres são distintas. Como continuamos negando questões tão fundamentais para alcançarmos, quem sabe um dia, a equidade entre essas </w:t>
      </w:r>
      <w:proofErr w:type="gramStart"/>
      <w:r>
        <w:rPr>
          <w:rFonts w:ascii="Times New Roman" w:hAnsi="Times New Roman"/>
          <w:sz w:val="24"/>
          <w:szCs w:val="24"/>
        </w:rPr>
        <w:t>diferenças?.</w:t>
      </w:r>
      <w:proofErr w:type="gramEnd"/>
    </w:p>
    <w:p w:rsidR="00491628" w:rsidRPr="002246E4" w:rsidRDefault="00491628" w:rsidP="00EC5205">
      <w:pPr>
        <w:spacing w:after="0" w:line="360" w:lineRule="auto"/>
        <w:contextualSpacing/>
        <w:jc w:val="both"/>
        <w:rPr>
          <w:rFonts w:ascii="Times New Roman" w:hAnsi="Times New Roman"/>
          <w:sz w:val="24"/>
          <w:szCs w:val="24"/>
        </w:rPr>
      </w:pPr>
      <w:r>
        <w:rPr>
          <w:rFonts w:ascii="Times New Roman" w:hAnsi="Times New Roman"/>
          <w:sz w:val="24"/>
          <w:szCs w:val="24"/>
        </w:rPr>
        <w:tab/>
        <w:t xml:space="preserve"> </w:t>
      </w:r>
    </w:p>
    <w:p w:rsidR="00491628" w:rsidRDefault="00EC5205" w:rsidP="00491628">
      <w:pPr>
        <w:pStyle w:val="PargrafodaLista"/>
        <w:spacing w:after="0" w:line="360" w:lineRule="auto"/>
        <w:ind w:left="0"/>
        <w:jc w:val="both"/>
        <w:rPr>
          <w:rFonts w:ascii="Times New Roman" w:hAnsi="Times New Roman"/>
          <w:b/>
          <w:sz w:val="24"/>
          <w:szCs w:val="24"/>
        </w:rPr>
      </w:pPr>
      <w:r>
        <w:rPr>
          <w:rFonts w:ascii="Times New Roman" w:hAnsi="Times New Roman"/>
          <w:b/>
          <w:sz w:val="24"/>
          <w:szCs w:val="24"/>
        </w:rPr>
        <w:t>CONSIDERAÇÕES FINAIS</w:t>
      </w:r>
    </w:p>
    <w:p w:rsidR="00EC5205" w:rsidRDefault="00954669" w:rsidP="00491628">
      <w:pPr>
        <w:pStyle w:val="PargrafodaLista"/>
        <w:spacing w:after="0" w:line="360" w:lineRule="auto"/>
        <w:ind w:left="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p>
    <w:p w:rsidR="00954669" w:rsidRPr="00361109" w:rsidRDefault="00954669" w:rsidP="00954669">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361109">
        <w:rPr>
          <w:rFonts w:ascii="Times New Roman" w:hAnsi="Times New Roman"/>
          <w:sz w:val="24"/>
          <w:szCs w:val="24"/>
        </w:rPr>
        <w:t xml:space="preserve">A partir da exposição dos principais elementos da teoria da dominação masculina de Pierre </w:t>
      </w:r>
      <w:proofErr w:type="spellStart"/>
      <w:r w:rsidRPr="00361109">
        <w:rPr>
          <w:rFonts w:ascii="Times New Roman" w:hAnsi="Times New Roman"/>
          <w:sz w:val="24"/>
          <w:szCs w:val="24"/>
        </w:rPr>
        <w:t>Bourdieu</w:t>
      </w:r>
      <w:proofErr w:type="spellEnd"/>
      <w:r w:rsidRPr="00361109">
        <w:rPr>
          <w:rFonts w:ascii="Times New Roman" w:hAnsi="Times New Roman"/>
          <w:sz w:val="24"/>
          <w:szCs w:val="24"/>
        </w:rPr>
        <w:t xml:space="preserve">, pôde-se compreender os efeitos do poder e da violência simbólica masculina, incidentes sobre o corpo e o cérebro dos indivíduos, possuidores de um forte poder de persuasão, de formação de atos e ideias, que ultrapassa a ordem social, alcançando um patamar de uma “ordem cósmica’, ou seja, torna-se intrínseco à figura do homem e da mulher. Uma lógica </w:t>
      </w:r>
      <w:proofErr w:type="spellStart"/>
      <w:r w:rsidRPr="00361109">
        <w:rPr>
          <w:rFonts w:ascii="Times New Roman" w:hAnsi="Times New Roman"/>
          <w:sz w:val="24"/>
          <w:szCs w:val="24"/>
        </w:rPr>
        <w:t>priorizadora</w:t>
      </w:r>
      <w:proofErr w:type="spellEnd"/>
      <w:r w:rsidRPr="00361109">
        <w:rPr>
          <w:rFonts w:ascii="Times New Roman" w:hAnsi="Times New Roman"/>
          <w:sz w:val="24"/>
          <w:szCs w:val="24"/>
        </w:rPr>
        <w:t xml:space="preserve"> do homem em desfavor da mulher.</w:t>
      </w:r>
    </w:p>
    <w:p w:rsidR="00954669" w:rsidRPr="00361109" w:rsidRDefault="00954669" w:rsidP="00954669">
      <w:pPr>
        <w:spacing w:after="0" w:line="360" w:lineRule="auto"/>
        <w:jc w:val="both"/>
        <w:rPr>
          <w:rFonts w:ascii="Times New Roman" w:hAnsi="Times New Roman"/>
          <w:sz w:val="24"/>
          <w:szCs w:val="24"/>
        </w:rPr>
      </w:pPr>
      <w:r w:rsidRPr="00361109">
        <w:rPr>
          <w:rFonts w:ascii="Times New Roman" w:hAnsi="Times New Roman"/>
          <w:sz w:val="24"/>
          <w:szCs w:val="24"/>
        </w:rPr>
        <w:t xml:space="preserve">   </w:t>
      </w:r>
      <w:r w:rsidRPr="00361109">
        <w:rPr>
          <w:rFonts w:ascii="Times New Roman" w:hAnsi="Times New Roman"/>
          <w:sz w:val="24"/>
          <w:szCs w:val="24"/>
        </w:rPr>
        <w:tab/>
        <w:t xml:space="preserve">Concepções e percepções que fazem com que os indivíduos reproduzam a referida lógica de dominação de forma involuntária, uma vez que o referido poder simbólico é incorporado nos corpos e nas mentes dos indivíduos e objetivado nos objetos, criando-se uma realidade, uma realidade construída, que aliena os indivíduos quanto à relação entre dominantes e dominados e até mesmo em relação à lógica da dominação simbólica. </w:t>
      </w:r>
    </w:p>
    <w:p w:rsidR="00954669" w:rsidRDefault="00954669" w:rsidP="00954669">
      <w:pPr>
        <w:spacing w:after="0" w:line="360" w:lineRule="auto"/>
        <w:jc w:val="both"/>
        <w:rPr>
          <w:rFonts w:ascii="Times New Roman" w:hAnsi="Times New Roman"/>
          <w:sz w:val="24"/>
          <w:szCs w:val="24"/>
        </w:rPr>
      </w:pPr>
      <w:r w:rsidRPr="00361109">
        <w:rPr>
          <w:rFonts w:ascii="Times New Roman" w:hAnsi="Times New Roman"/>
          <w:sz w:val="24"/>
          <w:szCs w:val="24"/>
        </w:rPr>
        <w:t xml:space="preserve"> </w:t>
      </w:r>
      <w:r w:rsidRPr="00361109">
        <w:rPr>
          <w:rFonts w:ascii="Times New Roman" w:hAnsi="Times New Roman"/>
          <w:sz w:val="24"/>
          <w:szCs w:val="24"/>
        </w:rPr>
        <w:tab/>
        <w:t xml:space="preserve">A partir do entendimento da referida alienação, </w:t>
      </w:r>
      <w:r>
        <w:rPr>
          <w:rFonts w:ascii="Times New Roman" w:hAnsi="Times New Roman"/>
          <w:sz w:val="24"/>
          <w:szCs w:val="24"/>
        </w:rPr>
        <w:t xml:space="preserve">passou-se a analisar a mulher no cárcere, </w:t>
      </w:r>
      <w:r w:rsidR="00E60B82">
        <w:rPr>
          <w:rFonts w:ascii="Times New Roman" w:hAnsi="Times New Roman"/>
          <w:sz w:val="24"/>
          <w:szCs w:val="24"/>
        </w:rPr>
        <w:t xml:space="preserve">investigando-se em que medida o cárcere é um instrumento correlacionado a uma perspectiva masculina subjugadora da mulher. </w:t>
      </w:r>
    </w:p>
    <w:p w:rsidR="00E60B82" w:rsidRDefault="00E60B82" w:rsidP="00954669">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Sustentou-se que a mulher é encarada como um mero objeto, um sujeito </w:t>
      </w:r>
      <w:proofErr w:type="spellStart"/>
      <w:r>
        <w:rPr>
          <w:rFonts w:ascii="Times New Roman" w:hAnsi="Times New Roman"/>
          <w:sz w:val="24"/>
          <w:szCs w:val="24"/>
        </w:rPr>
        <w:t>matável</w:t>
      </w:r>
      <w:proofErr w:type="spellEnd"/>
      <w:r>
        <w:rPr>
          <w:rFonts w:ascii="Times New Roman" w:hAnsi="Times New Roman"/>
          <w:sz w:val="24"/>
          <w:szCs w:val="24"/>
        </w:rPr>
        <w:t xml:space="preserve"> em detrimento de seu gênero, que estaria exposta a qualquer tipo de violação. Trata-se de um </w:t>
      </w:r>
      <w:r>
        <w:rPr>
          <w:rFonts w:ascii="Times New Roman" w:hAnsi="Times New Roman"/>
          <w:sz w:val="24"/>
          <w:szCs w:val="24"/>
        </w:rPr>
        <w:lastRenderedPageBreak/>
        <w:t>sistema ratificador da invisibilidade de sujeito marginalizados, uma instituição masculina, excludente do feminino, violentador do mesmo.</w:t>
      </w:r>
    </w:p>
    <w:p w:rsidR="00491628" w:rsidRDefault="00E60B82" w:rsidP="00E60B82">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Simbolicamente, o cárcere é projetado em níveis do masculino dominar o feminino. Eis a ponte de ligação entre a construção teórica pautada na teoria de Pierre </w:t>
      </w:r>
      <w:proofErr w:type="spellStart"/>
      <w:r>
        <w:rPr>
          <w:rFonts w:ascii="Times New Roman" w:hAnsi="Times New Roman"/>
          <w:sz w:val="24"/>
          <w:szCs w:val="24"/>
        </w:rPr>
        <w:t>Bourdieu</w:t>
      </w:r>
      <w:proofErr w:type="spellEnd"/>
      <w:r>
        <w:rPr>
          <w:rFonts w:ascii="Times New Roman" w:hAnsi="Times New Roman"/>
          <w:sz w:val="24"/>
          <w:szCs w:val="24"/>
        </w:rPr>
        <w:t xml:space="preserve"> e a mulher no cárcere. Eis que o mesmo é atravessado por uma lógica de poder invisível, doce, sedutora, que coordena os dominados de uma forma sútil o bastante para passar </w:t>
      </w:r>
      <w:r>
        <w:rPr>
          <w:rFonts w:ascii="Times New Roman" w:hAnsi="Times New Roman"/>
          <w:i/>
          <w:iCs/>
          <w:sz w:val="24"/>
          <w:szCs w:val="24"/>
        </w:rPr>
        <w:t>quase</w:t>
      </w:r>
      <w:r>
        <w:rPr>
          <w:rFonts w:ascii="Times New Roman" w:hAnsi="Times New Roman"/>
          <w:sz w:val="24"/>
          <w:szCs w:val="24"/>
        </w:rPr>
        <w:t xml:space="preserve"> desapercebida.  </w:t>
      </w:r>
    </w:p>
    <w:p w:rsidR="00E60B82" w:rsidRPr="00E60B82" w:rsidRDefault="00E60B82" w:rsidP="00E60B82">
      <w:pPr>
        <w:spacing w:after="0" w:line="360" w:lineRule="auto"/>
        <w:jc w:val="both"/>
        <w:rPr>
          <w:rFonts w:ascii="Times New Roman" w:hAnsi="Times New Roman"/>
          <w:sz w:val="24"/>
          <w:szCs w:val="24"/>
        </w:rPr>
      </w:pPr>
    </w:p>
    <w:p w:rsidR="00C67EF6" w:rsidRDefault="00C67EF6" w:rsidP="00D436B5">
      <w:pPr>
        <w:jc w:val="both"/>
        <w:rPr>
          <w:rFonts w:ascii="Times New Roman" w:hAnsi="Times New Roman"/>
          <w:b/>
          <w:sz w:val="24"/>
          <w:szCs w:val="24"/>
        </w:rPr>
      </w:pPr>
      <w:r>
        <w:rPr>
          <w:rFonts w:ascii="Times New Roman" w:hAnsi="Times New Roman"/>
          <w:b/>
          <w:sz w:val="24"/>
          <w:szCs w:val="24"/>
        </w:rPr>
        <w:t>REFERÊNCIAS BIBLIOGRÁFICAS</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B</w:t>
      </w:r>
      <w:r w:rsidRPr="00404F53">
        <w:rPr>
          <w:rFonts w:ascii="Times New Roman" w:hAnsi="Times New Roman"/>
          <w:sz w:val="24"/>
          <w:szCs w:val="24"/>
        </w:rPr>
        <w:t xml:space="preserve">RASIL, Levantamento Nacional de Informações Penitenciárias - INFOPEN Mulheres 2ª edição. Brasília, DF, 2018. 79 p. Disponível em http://depen.gov. br/DEPEN/depen/sisdepen/infopen-mulheres/infopenmulheres_arte_07-03-18. </w:t>
      </w:r>
      <w:proofErr w:type="spellStart"/>
      <w:r w:rsidRPr="00404F53">
        <w:rPr>
          <w:rFonts w:ascii="Times New Roman" w:hAnsi="Times New Roman"/>
          <w:sz w:val="24"/>
          <w:szCs w:val="24"/>
        </w:rPr>
        <w:t>pdf</w:t>
      </w:r>
      <w:proofErr w:type="spellEnd"/>
      <w:r w:rsidRPr="00404F53">
        <w:rPr>
          <w:rFonts w:ascii="Times New Roman" w:hAnsi="Times New Roman"/>
          <w:sz w:val="24"/>
          <w:szCs w:val="24"/>
        </w:rPr>
        <w:t xml:space="preserve"> Acesso em 22 mai. 2019.</w:t>
      </w:r>
    </w:p>
    <w:p w:rsidR="00EC5205" w:rsidRPr="00404F53" w:rsidRDefault="00EC5205" w:rsidP="00404F53">
      <w:pPr>
        <w:spacing w:after="0"/>
        <w:contextualSpacing/>
        <w:jc w:val="both"/>
        <w:rPr>
          <w:rFonts w:ascii="Times New Roman" w:hAnsi="Times New Roman"/>
          <w:sz w:val="24"/>
          <w:szCs w:val="24"/>
        </w:rPr>
      </w:pPr>
    </w:p>
    <w:p w:rsidR="00C67EF6" w:rsidRPr="00404F53" w:rsidRDefault="00C67EF6"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BOURDIEU, Pierre. </w:t>
      </w:r>
      <w:r w:rsidRPr="00404F53">
        <w:rPr>
          <w:rFonts w:ascii="Times New Roman" w:hAnsi="Times New Roman"/>
          <w:b/>
          <w:sz w:val="24"/>
          <w:szCs w:val="24"/>
        </w:rPr>
        <w:t>O poder simbólico</w:t>
      </w:r>
      <w:r w:rsidRPr="00404F53">
        <w:rPr>
          <w:rFonts w:ascii="Times New Roman" w:hAnsi="Times New Roman"/>
          <w:sz w:val="24"/>
          <w:szCs w:val="24"/>
        </w:rPr>
        <w:t>. 4ª ed. Rio de Janeiro: Bertrand Brasil, 2001.</w:t>
      </w:r>
    </w:p>
    <w:p w:rsidR="00404F53" w:rsidRDefault="00404F53" w:rsidP="00404F53">
      <w:pPr>
        <w:spacing w:after="0"/>
        <w:contextualSpacing/>
        <w:jc w:val="both"/>
        <w:rPr>
          <w:rFonts w:ascii="Times New Roman" w:hAnsi="Times New Roman"/>
          <w:sz w:val="24"/>
          <w:szCs w:val="24"/>
        </w:rPr>
      </w:pPr>
    </w:p>
    <w:p w:rsidR="00C67EF6" w:rsidRPr="00404F53" w:rsidRDefault="00C67EF6"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BOURDIEU, Pierre. </w:t>
      </w:r>
      <w:r w:rsidRPr="00404F53">
        <w:rPr>
          <w:rFonts w:ascii="Times New Roman" w:hAnsi="Times New Roman"/>
          <w:b/>
          <w:sz w:val="24"/>
          <w:szCs w:val="24"/>
        </w:rPr>
        <w:t>A dominação masculina – A condição feminina e a violência simbólica</w:t>
      </w:r>
      <w:r w:rsidRPr="00404F53">
        <w:rPr>
          <w:rFonts w:ascii="Times New Roman" w:hAnsi="Times New Roman"/>
          <w:sz w:val="24"/>
          <w:szCs w:val="24"/>
        </w:rPr>
        <w:t xml:space="preserve">. 1ª ed. Rio de Janeiro: </w:t>
      </w:r>
      <w:proofErr w:type="spellStart"/>
      <w:r w:rsidRPr="00404F53">
        <w:rPr>
          <w:rFonts w:ascii="Times New Roman" w:hAnsi="Times New Roman"/>
          <w:sz w:val="24"/>
          <w:szCs w:val="24"/>
        </w:rPr>
        <w:t>Bestbolso</w:t>
      </w:r>
      <w:proofErr w:type="spellEnd"/>
      <w:r w:rsidRPr="00404F53">
        <w:rPr>
          <w:rFonts w:ascii="Times New Roman" w:hAnsi="Times New Roman"/>
          <w:sz w:val="24"/>
          <w:szCs w:val="24"/>
        </w:rPr>
        <w:t xml:space="preserve">, 2014a. </w:t>
      </w:r>
    </w:p>
    <w:p w:rsidR="00404F53" w:rsidRDefault="00404F53" w:rsidP="00404F53">
      <w:pPr>
        <w:spacing w:after="0"/>
        <w:contextualSpacing/>
        <w:jc w:val="both"/>
        <w:rPr>
          <w:rFonts w:ascii="Times New Roman" w:hAnsi="Times New Roman"/>
          <w:sz w:val="24"/>
          <w:szCs w:val="24"/>
        </w:rPr>
      </w:pPr>
    </w:p>
    <w:p w:rsidR="00C67EF6" w:rsidRPr="00404F53" w:rsidRDefault="00C67EF6"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BOURDIEU, Pierre. </w:t>
      </w:r>
      <w:r w:rsidRPr="00404F53">
        <w:rPr>
          <w:rFonts w:ascii="Times New Roman" w:hAnsi="Times New Roman"/>
          <w:b/>
          <w:sz w:val="24"/>
          <w:szCs w:val="24"/>
        </w:rPr>
        <w:t xml:space="preserve">Sobre o Estado. </w:t>
      </w:r>
      <w:r w:rsidRPr="00404F53">
        <w:rPr>
          <w:rFonts w:ascii="Times New Roman" w:hAnsi="Times New Roman"/>
          <w:sz w:val="24"/>
          <w:szCs w:val="24"/>
        </w:rPr>
        <w:t>1ª ed. São Paulo: Companhia das Letras, 2014b.</w:t>
      </w:r>
    </w:p>
    <w:p w:rsidR="00404F53" w:rsidRDefault="00404F53" w:rsidP="00404F53">
      <w:pPr>
        <w:spacing w:after="0"/>
        <w:contextualSpacing/>
        <w:jc w:val="both"/>
        <w:rPr>
          <w:rFonts w:ascii="Times New Roman" w:hAnsi="Times New Roman"/>
          <w:sz w:val="24"/>
          <w:szCs w:val="24"/>
        </w:rPr>
      </w:pPr>
    </w:p>
    <w:p w:rsidR="00C67EF6" w:rsidRPr="00404F53" w:rsidRDefault="00C67EF6"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BUTLER, Judith. </w:t>
      </w:r>
      <w:r w:rsidRPr="00404F53">
        <w:rPr>
          <w:rFonts w:ascii="Times New Roman" w:hAnsi="Times New Roman"/>
          <w:b/>
          <w:sz w:val="24"/>
          <w:szCs w:val="24"/>
        </w:rPr>
        <w:t>Problemas de gênero – Feminismo e subversão da identidade</w:t>
      </w:r>
      <w:r w:rsidRPr="00404F53">
        <w:rPr>
          <w:rFonts w:ascii="Times New Roman" w:hAnsi="Times New Roman"/>
          <w:sz w:val="24"/>
          <w:szCs w:val="24"/>
        </w:rPr>
        <w:t>. 7ª ed. Rio de janeiro: Civilização brasileira, 2014.</w:t>
      </w:r>
    </w:p>
    <w:p w:rsidR="00404F53" w:rsidRDefault="00404F53" w:rsidP="00404F53">
      <w:pPr>
        <w:spacing w:after="0"/>
        <w:contextualSpacing/>
        <w:jc w:val="both"/>
        <w:rPr>
          <w:rFonts w:ascii="Times New Roman" w:hAnsi="Times New Roman"/>
          <w:sz w:val="24"/>
          <w:szCs w:val="24"/>
        </w:rPr>
      </w:pPr>
    </w:p>
    <w:p w:rsidR="00EC5205" w:rsidRPr="00404F53" w:rsidRDefault="00EC5205"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CASTILHO, E.W.V, CAMPOS, C.H. Sistema de justiça criminal e perspectiva de gênero. Disponível em </w:t>
      </w:r>
      <w:hyperlink r:id="rId7" w:history="1">
        <w:r w:rsidRPr="00404F53">
          <w:rPr>
            <w:rStyle w:val="Hyperlink"/>
            <w:rFonts w:ascii="Times New Roman" w:hAnsi="Times New Roman"/>
            <w:color w:val="auto"/>
            <w:sz w:val="24"/>
            <w:szCs w:val="24"/>
          </w:rPr>
          <w:t>https://bibliotecadigital.fgv.br/dspace/bitstream/handle/10438/24904/IBCCRIM-Os%20obsta%CC%81culos%20impostos%20a%CC%80s%20mulheres%20nas%20visitas%20aos%20presos%20como%20forma%20de%20injustic%CC%A7a%20de%20ge%CC%82nero%20no%20Tribunal%20do%20Distrito%20Federal.pdf?sequence=1&amp;isAllowed=y</w:t>
        </w:r>
      </w:hyperlink>
      <w:r w:rsidRPr="00404F53">
        <w:rPr>
          <w:rFonts w:ascii="Times New Roman" w:hAnsi="Times New Roman"/>
          <w:sz w:val="24"/>
          <w:szCs w:val="24"/>
        </w:rPr>
        <w:t>. Acesso em: 9 de março de 2019.</w:t>
      </w:r>
    </w:p>
    <w:p w:rsidR="00404F53" w:rsidRDefault="00404F53"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DAVIS, </w:t>
      </w:r>
      <w:proofErr w:type="spellStart"/>
      <w:r w:rsidRPr="00404F53">
        <w:rPr>
          <w:rFonts w:ascii="Times New Roman" w:hAnsi="Times New Roman"/>
          <w:sz w:val="24"/>
          <w:szCs w:val="24"/>
        </w:rPr>
        <w:t>Angela</w:t>
      </w:r>
      <w:proofErr w:type="spellEnd"/>
      <w:r w:rsidRPr="00404F53">
        <w:rPr>
          <w:rFonts w:ascii="Times New Roman" w:hAnsi="Times New Roman"/>
          <w:sz w:val="24"/>
          <w:szCs w:val="24"/>
        </w:rPr>
        <w:t xml:space="preserve">. Estarão as prisões </w:t>
      </w:r>
      <w:proofErr w:type="gramStart"/>
      <w:r w:rsidRPr="00404F53">
        <w:rPr>
          <w:rFonts w:ascii="Times New Roman" w:hAnsi="Times New Roman"/>
          <w:sz w:val="24"/>
          <w:szCs w:val="24"/>
        </w:rPr>
        <w:t>obsoletas?.</w:t>
      </w:r>
      <w:proofErr w:type="gramEnd"/>
      <w:r w:rsidRPr="00404F53">
        <w:rPr>
          <w:rFonts w:ascii="Times New Roman" w:hAnsi="Times New Roman"/>
          <w:sz w:val="24"/>
          <w:szCs w:val="24"/>
        </w:rPr>
        <w:t xml:space="preserve"> 1 ed. Rio de Janeiro: </w:t>
      </w:r>
      <w:proofErr w:type="spellStart"/>
      <w:r w:rsidRPr="00404F53">
        <w:rPr>
          <w:rFonts w:ascii="Times New Roman" w:hAnsi="Times New Roman"/>
          <w:sz w:val="24"/>
          <w:szCs w:val="24"/>
        </w:rPr>
        <w:t>Difel</w:t>
      </w:r>
      <w:proofErr w:type="spellEnd"/>
      <w:r w:rsidRPr="00404F53">
        <w:rPr>
          <w:rFonts w:ascii="Times New Roman" w:hAnsi="Times New Roman"/>
          <w:sz w:val="24"/>
          <w:szCs w:val="24"/>
        </w:rPr>
        <w:t>, 2018.</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DAVIS, </w:t>
      </w:r>
      <w:proofErr w:type="spellStart"/>
      <w:r w:rsidRPr="00404F53">
        <w:rPr>
          <w:rFonts w:ascii="Times New Roman" w:hAnsi="Times New Roman"/>
          <w:sz w:val="24"/>
          <w:szCs w:val="24"/>
        </w:rPr>
        <w:t>Angela</w:t>
      </w:r>
      <w:proofErr w:type="spellEnd"/>
      <w:r w:rsidRPr="00404F53">
        <w:rPr>
          <w:rFonts w:ascii="Times New Roman" w:hAnsi="Times New Roman"/>
          <w:sz w:val="24"/>
          <w:szCs w:val="24"/>
        </w:rPr>
        <w:t xml:space="preserve">. Mulheres, raça e classe. 1 ed. São Paulo: </w:t>
      </w:r>
      <w:proofErr w:type="spellStart"/>
      <w:r w:rsidRPr="00404F53">
        <w:rPr>
          <w:rFonts w:ascii="Times New Roman" w:hAnsi="Times New Roman"/>
          <w:sz w:val="24"/>
          <w:szCs w:val="24"/>
        </w:rPr>
        <w:t>Boitempo</w:t>
      </w:r>
      <w:proofErr w:type="spellEnd"/>
      <w:r w:rsidRPr="00404F53">
        <w:rPr>
          <w:rFonts w:ascii="Times New Roman" w:hAnsi="Times New Roman"/>
          <w:sz w:val="24"/>
          <w:szCs w:val="24"/>
        </w:rPr>
        <w:t xml:space="preserve">, 2016. </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DE BEAUVOIR, Simone. O Segundo Sexo. V. 1 e 2. Tradução de Sérgio Milliet. Rio de Janeiro: Nova Fronteira, 1980.</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DINIZ, Debora. Meninas fora da lei: a medida socioeducativa de internação no Distrito </w:t>
      </w:r>
      <w:proofErr w:type="gramStart"/>
      <w:r w:rsidRPr="00404F53">
        <w:rPr>
          <w:rFonts w:ascii="Times New Roman" w:hAnsi="Times New Roman"/>
          <w:sz w:val="24"/>
          <w:szCs w:val="24"/>
        </w:rPr>
        <w:t>Federal.–</w:t>
      </w:r>
      <w:proofErr w:type="gramEnd"/>
      <w:r w:rsidRPr="00404F53">
        <w:rPr>
          <w:rFonts w:ascii="Times New Roman" w:hAnsi="Times New Roman"/>
          <w:sz w:val="24"/>
          <w:szCs w:val="24"/>
        </w:rPr>
        <w:t xml:space="preserve"> Brasília : </w:t>
      </w:r>
      <w:proofErr w:type="spellStart"/>
      <w:r w:rsidRPr="00404F53">
        <w:rPr>
          <w:rFonts w:ascii="Times New Roman" w:hAnsi="Times New Roman"/>
          <w:sz w:val="24"/>
          <w:szCs w:val="24"/>
        </w:rPr>
        <w:t>LetrasLivres</w:t>
      </w:r>
      <w:proofErr w:type="spellEnd"/>
      <w:r w:rsidRPr="00404F53">
        <w:rPr>
          <w:rFonts w:ascii="Times New Roman" w:hAnsi="Times New Roman"/>
          <w:sz w:val="24"/>
          <w:szCs w:val="24"/>
        </w:rPr>
        <w:t>, 2017.</w:t>
      </w:r>
    </w:p>
    <w:p w:rsidR="00EC5205" w:rsidRPr="00404F53" w:rsidRDefault="00EC5205" w:rsidP="00404F53">
      <w:pPr>
        <w:spacing w:after="0"/>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lastRenderedPageBreak/>
        <w:t xml:space="preserve">FARIA, Thaís. A mulher e a criminologia: Relações e paralelos entre a história da criminologia e a história da mulher no Brasil. Disponível em: </w:t>
      </w:r>
      <w:hyperlink r:id="rId8" w:history="1">
        <w:r w:rsidRPr="00404F53">
          <w:rPr>
            <w:rStyle w:val="Hyperlink"/>
            <w:rFonts w:ascii="Times New Roman" w:hAnsi="Times New Roman"/>
            <w:color w:val="auto"/>
            <w:sz w:val="24"/>
            <w:szCs w:val="24"/>
          </w:rPr>
          <w:t>http://www.publicadireito.com.br/conpedi/manaus/arquivos/anais/fortaleza/3310.pdf</w:t>
        </w:r>
      </w:hyperlink>
      <w:r w:rsidRPr="00404F53">
        <w:rPr>
          <w:rFonts w:ascii="Times New Roman" w:hAnsi="Times New Roman"/>
          <w:sz w:val="24"/>
          <w:szCs w:val="24"/>
        </w:rPr>
        <w:t>. Acesso em: 6 de agosto de 2018.</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FARIA, Thaís. Memória de um silêncio eloquente: A criminalização das mulheres no Brasil na primeira metade do século XX. Tese apresentada ao Programa de Pós-Graduação da Faculdade de Direito da Universidade de Brasília. 2013. Disponível em:</w:t>
      </w:r>
      <w:r w:rsidRPr="00404F53">
        <w:rPr>
          <w:rStyle w:val="CitaoHTML"/>
          <w:rFonts w:ascii="Times New Roman" w:hAnsi="Times New Roman"/>
          <w:sz w:val="24"/>
          <w:szCs w:val="24"/>
          <w:shd w:val="clear" w:color="auto" w:fill="FFFFFF"/>
        </w:rPr>
        <w:t xml:space="preserve"> </w:t>
      </w:r>
      <w:hyperlink r:id="rId9" w:history="1">
        <w:r w:rsidRPr="00404F53">
          <w:rPr>
            <w:rStyle w:val="Hyperlink"/>
            <w:rFonts w:ascii="Times New Roman" w:hAnsi="Times New Roman"/>
            <w:color w:val="auto"/>
            <w:sz w:val="24"/>
            <w:szCs w:val="24"/>
            <w:shd w:val="clear" w:color="auto" w:fill="FFFFFF"/>
          </w:rPr>
          <w:t>http://repositorio.unb.br/bitstream/10482/16696/1/2013_ThaisDumetFaria.pdf</w:t>
        </w:r>
      </w:hyperlink>
      <w:r w:rsidRPr="00404F53">
        <w:rPr>
          <w:rStyle w:val="CitaoHTML"/>
          <w:rFonts w:ascii="Times New Roman" w:hAnsi="Times New Roman"/>
          <w:sz w:val="24"/>
          <w:szCs w:val="24"/>
          <w:shd w:val="clear" w:color="auto" w:fill="FFFFFF"/>
        </w:rPr>
        <w:t>. Acesso em 3 de fevereiro de 2019.</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FLAUZINA, Ana. Corpo negro caído no chão: o sistema penal e o projeto genocida do estado brasileiro. Dissertação apresentada ao Programa de Pós-Graduação em Direito da Universidade de Brasília. 2006. Disponível em: </w:t>
      </w:r>
      <w:hyperlink r:id="rId10" w:history="1">
        <w:r w:rsidRPr="00404F53">
          <w:rPr>
            <w:rStyle w:val="Hyperlink"/>
            <w:rFonts w:ascii="Times New Roman" w:hAnsi="Times New Roman"/>
            <w:color w:val="auto"/>
            <w:sz w:val="24"/>
            <w:szCs w:val="24"/>
          </w:rPr>
          <w:t>http://repositorio.unb.br/handle/10482/5117?mode=full</w:t>
        </w:r>
      </w:hyperlink>
      <w:r w:rsidRPr="00404F53">
        <w:rPr>
          <w:rFonts w:ascii="Times New Roman" w:hAnsi="Times New Roman"/>
          <w:sz w:val="24"/>
          <w:szCs w:val="24"/>
        </w:rPr>
        <w:t>. Acesso em: 10 de setembro de 2018.</w:t>
      </w: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GOMES, Camilla de Magalhães. Gênero como categoria de análise </w:t>
      </w:r>
      <w:proofErr w:type="spellStart"/>
      <w:r w:rsidRPr="00404F53">
        <w:rPr>
          <w:rFonts w:ascii="Times New Roman" w:hAnsi="Times New Roman"/>
          <w:sz w:val="24"/>
          <w:szCs w:val="24"/>
        </w:rPr>
        <w:t>decolonial</w:t>
      </w:r>
      <w:proofErr w:type="spellEnd"/>
      <w:r w:rsidRPr="00404F53">
        <w:rPr>
          <w:rFonts w:ascii="Times New Roman" w:hAnsi="Times New Roman"/>
          <w:sz w:val="24"/>
          <w:szCs w:val="24"/>
        </w:rPr>
        <w:t xml:space="preserve">. Disponível em: </w:t>
      </w:r>
      <w:hyperlink r:id="rId11" w:history="1">
        <w:r w:rsidRPr="00404F53">
          <w:rPr>
            <w:rStyle w:val="Hyperlink"/>
            <w:rFonts w:ascii="Times New Roman" w:hAnsi="Times New Roman"/>
            <w:color w:val="auto"/>
            <w:sz w:val="24"/>
            <w:szCs w:val="24"/>
          </w:rPr>
          <w:t>http://www.scielo.br/scielo.php?pid=S1519-60892018000100065&amp;script=sci_abstract&amp;tlng=pt</w:t>
        </w:r>
      </w:hyperlink>
      <w:r w:rsidRPr="00404F53">
        <w:rPr>
          <w:rFonts w:ascii="Times New Roman" w:hAnsi="Times New Roman"/>
          <w:sz w:val="24"/>
          <w:szCs w:val="24"/>
        </w:rPr>
        <w:t>. Acesso em 15 de junho de 2019.</w:t>
      </w:r>
    </w:p>
    <w:p w:rsidR="00EC5205" w:rsidRPr="00404F53" w:rsidRDefault="00EC5205" w:rsidP="00404F53">
      <w:pPr>
        <w:spacing w:after="0"/>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ISHIY, Karla. A desconstrução da Criminalidade Feminina. Dissertação apresentada ao Programa de Pós-Graduação em Direito da Universidade de São Paulo. 2014. Disponível em: http://www.teses.usp.br/teses/disponiveis/2/2136/tde-11022015-082103/en.php. Acesso em: 10 de julho de 2018. </w:t>
      </w:r>
    </w:p>
    <w:p w:rsidR="00EC5205" w:rsidRPr="00404F53" w:rsidRDefault="00EC5205" w:rsidP="00404F53">
      <w:pPr>
        <w:spacing w:after="0"/>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shd w:val="clear" w:color="auto" w:fill="FFFFFF"/>
        </w:rPr>
      </w:pPr>
      <w:r w:rsidRPr="00404F53">
        <w:rPr>
          <w:rFonts w:ascii="Times New Roman" w:hAnsi="Times New Roman"/>
          <w:sz w:val="24"/>
          <w:szCs w:val="24"/>
          <w:shd w:val="clear" w:color="auto" w:fill="FFFFFF"/>
        </w:rPr>
        <w:t xml:space="preserve">MAKKI, Salma Hussein; SANTOS, Marcelo </w:t>
      </w:r>
      <w:proofErr w:type="spellStart"/>
      <w:r w:rsidRPr="00404F53">
        <w:rPr>
          <w:rFonts w:ascii="Times New Roman" w:hAnsi="Times New Roman"/>
          <w:sz w:val="24"/>
          <w:szCs w:val="24"/>
          <w:shd w:val="clear" w:color="auto" w:fill="FFFFFF"/>
        </w:rPr>
        <w:t>Loeblein</w:t>
      </w:r>
      <w:proofErr w:type="spellEnd"/>
      <w:r w:rsidRPr="00404F53">
        <w:rPr>
          <w:rFonts w:ascii="Times New Roman" w:hAnsi="Times New Roman"/>
          <w:sz w:val="24"/>
          <w:szCs w:val="24"/>
          <w:shd w:val="clear" w:color="auto" w:fill="FFFFFF"/>
        </w:rPr>
        <w:t xml:space="preserve"> dos. Gênero e criminalidade: Um olhar sobre a mulher encarcerada no Brasil. In: </w:t>
      </w:r>
      <w:r w:rsidRPr="00404F53">
        <w:rPr>
          <w:rStyle w:val="Forte"/>
          <w:rFonts w:ascii="Times New Roman" w:hAnsi="Times New Roman"/>
          <w:sz w:val="24"/>
          <w:szCs w:val="24"/>
          <w:shd w:val="clear" w:color="auto" w:fill="FFFFFF"/>
        </w:rPr>
        <w:t>Âmbito Jurídico</w:t>
      </w:r>
      <w:r w:rsidRPr="00404F53">
        <w:rPr>
          <w:rFonts w:ascii="Times New Roman" w:hAnsi="Times New Roman"/>
          <w:b/>
          <w:sz w:val="24"/>
          <w:szCs w:val="24"/>
          <w:shd w:val="clear" w:color="auto" w:fill="FFFFFF"/>
        </w:rPr>
        <w:t>,</w:t>
      </w:r>
      <w:r w:rsidRPr="00404F53">
        <w:rPr>
          <w:rFonts w:ascii="Times New Roman" w:hAnsi="Times New Roman"/>
          <w:sz w:val="24"/>
          <w:szCs w:val="24"/>
          <w:shd w:val="clear" w:color="auto" w:fill="FFFFFF"/>
        </w:rPr>
        <w:t xml:space="preserve"> Rio Grande, XIII, n. 78, </w:t>
      </w:r>
      <w:proofErr w:type="spellStart"/>
      <w:r w:rsidRPr="00404F53">
        <w:rPr>
          <w:rFonts w:ascii="Times New Roman" w:hAnsi="Times New Roman"/>
          <w:sz w:val="24"/>
          <w:szCs w:val="24"/>
          <w:shd w:val="clear" w:color="auto" w:fill="FFFFFF"/>
        </w:rPr>
        <w:t>jul</w:t>
      </w:r>
      <w:proofErr w:type="spellEnd"/>
      <w:r w:rsidRPr="00404F53">
        <w:rPr>
          <w:rFonts w:ascii="Times New Roman" w:hAnsi="Times New Roman"/>
          <w:sz w:val="24"/>
          <w:szCs w:val="24"/>
          <w:shd w:val="clear" w:color="auto" w:fill="FFFFFF"/>
        </w:rPr>
        <w:t xml:space="preserve"> 2010. Disponível em: </w:t>
      </w:r>
      <w:hyperlink r:id="rId12" w:tooltip="Informações Bibliográficas" w:history="1">
        <w:r w:rsidRPr="00404F53">
          <w:rPr>
            <w:rStyle w:val="Hyperlink"/>
            <w:rFonts w:ascii="Times New Roman" w:hAnsi="Times New Roman"/>
            <w:color w:val="auto"/>
            <w:sz w:val="24"/>
            <w:szCs w:val="24"/>
            <w:shd w:val="clear" w:color="auto" w:fill="FFFFFF"/>
          </w:rPr>
          <w:t>http://ambito-juridico.com.br/site/index.php?n_link=revista_artigos_leitura&amp;artigo_id=8080</w:t>
        </w:r>
      </w:hyperlink>
      <w:r w:rsidRPr="00404F53">
        <w:rPr>
          <w:rFonts w:ascii="Times New Roman" w:hAnsi="Times New Roman"/>
          <w:sz w:val="24"/>
          <w:szCs w:val="24"/>
          <w:shd w:val="clear" w:color="auto" w:fill="FFFFFF"/>
        </w:rPr>
        <w:t>. Acesso em: 25 de agosto de 2018.</w:t>
      </w:r>
    </w:p>
    <w:p w:rsidR="00EC5205" w:rsidRPr="00404F53" w:rsidRDefault="00EC5205" w:rsidP="00404F53">
      <w:pPr>
        <w:pStyle w:val="Default"/>
        <w:contextualSpacing/>
        <w:jc w:val="both"/>
        <w:rPr>
          <w:color w:val="auto"/>
        </w:rPr>
      </w:pPr>
    </w:p>
    <w:p w:rsidR="00EC5205" w:rsidRPr="00404F53" w:rsidRDefault="00EC5205" w:rsidP="00404F53">
      <w:pPr>
        <w:pStyle w:val="Default"/>
        <w:contextualSpacing/>
        <w:jc w:val="both"/>
        <w:rPr>
          <w:color w:val="auto"/>
        </w:rPr>
      </w:pPr>
      <w:r w:rsidRPr="00404F53">
        <w:rPr>
          <w:color w:val="auto"/>
        </w:rPr>
        <w:t xml:space="preserve">PIZOLOTTO, Leticia. </w:t>
      </w:r>
      <w:r w:rsidRPr="00404F53">
        <w:rPr>
          <w:bCs/>
          <w:color w:val="auto"/>
        </w:rPr>
        <w:t xml:space="preserve">A lei 11.343/2006 e o aumento de mulheres encarceradas. Trabalho de Conclusão de Curso de Graduação em Direito na Universidade Regional do Noroeste do Estado do Rio Grande do Sul. 2014. Disponível em: </w:t>
      </w:r>
      <w:hyperlink r:id="rId13" w:history="1">
        <w:r w:rsidRPr="00404F53">
          <w:rPr>
            <w:rStyle w:val="Hyperlink"/>
            <w:color w:val="auto"/>
          </w:rPr>
          <w:t>http://bibliodigital.unijui.edu.br:8080/xmlui/handle/123456789/2553</w:t>
        </w:r>
      </w:hyperlink>
      <w:r w:rsidRPr="00404F53">
        <w:rPr>
          <w:color w:val="auto"/>
        </w:rPr>
        <w:t>. Acesso em: 9 de agosto de 2018.</w:t>
      </w:r>
    </w:p>
    <w:p w:rsidR="00EC5205" w:rsidRPr="00404F53" w:rsidRDefault="00EC5205" w:rsidP="00404F53">
      <w:pPr>
        <w:spacing w:after="0"/>
        <w:contextualSpacing/>
        <w:jc w:val="both"/>
        <w:rPr>
          <w:rFonts w:ascii="Times New Roman" w:hAnsi="Times New Roman"/>
          <w:sz w:val="24"/>
          <w:szCs w:val="24"/>
        </w:rPr>
      </w:pPr>
    </w:p>
    <w:p w:rsidR="00EC5205" w:rsidRPr="00404F53" w:rsidRDefault="00EC5205"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RAMOS, Luciana de Souza. Por amor ou pela dor? Um olhar feminista sobre o encarceramento de mulheres por tráfico de drogas. Dissertação apresentada ao Programa de Pós-Graduação da Universidade de Brasília. 2012. Disponível em: </w:t>
      </w:r>
      <w:hyperlink r:id="rId14" w:history="1">
        <w:r w:rsidRPr="00404F53">
          <w:rPr>
            <w:rStyle w:val="Hyperlink"/>
            <w:rFonts w:ascii="Times New Roman" w:hAnsi="Times New Roman"/>
            <w:color w:val="auto"/>
            <w:sz w:val="24"/>
            <w:szCs w:val="24"/>
          </w:rPr>
          <w:t>http://repositorio.unb.br/bitstream/10482/13758/1/2012_LucianadeSouzaRamos.pdf</w:t>
        </w:r>
      </w:hyperlink>
      <w:r w:rsidRPr="00404F53">
        <w:rPr>
          <w:rFonts w:ascii="Times New Roman" w:hAnsi="Times New Roman"/>
          <w:sz w:val="24"/>
          <w:szCs w:val="24"/>
        </w:rPr>
        <w:t>. Acesso em: 12 de dezembro de 2018.</w:t>
      </w:r>
    </w:p>
    <w:p w:rsidR="00EC5205" w:rsidRPr="00404F53" w:rsidRDefault="00EC5205" w:rsidP="00404F53">
      <w:pPr>
        <w:spacing w:after="0"/>
        <w:contextualSpacing/>
        <w:jc w:val="both"/>
        <w:rPr>
          <w:rFonts w:ascii="Times New Roman" w:hAnsi="Times New Roman"/>
          <w:sz w:val="24"/>
          <w:szCs w:val="24"/>
        </w:rPr>
      </w:pPr>
    </w:p>
    <w:p w:rsidR="00404F53" w:rsidRPr="00404F53" w:rsidRDefault="00404F53" w:rsidP="00404F53">
      <w:pPr>
        <w:autoSpaceDE w:val="0"/>
        <w:autoSpaceDN w:val="0"/>
        <w:adjustRightInd w:val="0"/>
        <w:spacing w:after="0" w:line="240" w:lineRule="auto"/>
        <w:contextualSpacing/>
        <w:jc w:val="both"/>
        <w:rPr>
          <w:rFonts w:ascii="Times New Roman" w:hAnsi="Times New Roman"/>
          <w:sz w:val="24"/>
          <w:szCs w:val="24"/>
        </w:rPr>
      </w:pPr>
      <w:r w:rsidRPr="00404F53">
        <w:rPr>
          <w:rFonts w:ascii="Times New Roman" w:hAnsi="Times New Roman"/>
          <w:sz w:val="24"/>
          <w:szCs w:val="24"/>
        </w:rPr>
        <w:t xml:space="preserve">SEGATO, Rita Laura. Os percursos do gênero na antropologia e para além dela. Disponível em </w:t>
      </w:r>
      <w:hyperlink r:id="rId15" w:history="1">
        <w:r w:rsidRPr="00404F53">
          <w:rPr>
            <w:rStyle w:val="Hyperlink"/>
            <w:rFonts w:ascii="Times New Roman" w:hAnsi="Times New Roman"/>
            <w:color w:val="auto"/>
            <w:sz w:val="24"/>
            <w:szCs w:val="24"/>
          </w:rPr>
          <w:t>http://www.miniweb.com.br/Historia/artigos/i_antiga/pdf/serie236empdf.pdf</w:t>
        </w:r>
      </w:hyperlink>
      <w:r w:rsidRPr="00404F53">
        <w:rPr>
          <w:rFonts w:ascii="Times New Roman" w:hAnsi="Times New Roman"/>
          <w:sz w:val="24"/>
          <w:szCs w:val="24"/>
        </w:rPr>
        <w:t>. Acesso em 15 de junho de 2019.</w:t>
      </w:r>
    </w:p>
    <w:p w:rsidR="00404F53" w:rsidRPr="00404F53" w:rsidRDefault="00404F53" w:rsidP="00404F53">
      <w:pPr>
        <w:spacing w:after="0"/>
        <w:contextualSpacing/>
        <w:jc w:val="both"/>
        <w:rPr>
          <w:rFonts w:ascii="Times New Roman" w:hAnsi="Times New Roman"/>
          <w:sz w:val="24"/>
          <w:szCs w:val="24"/>
        </w:rPr>
      </w:pPr>
    </w:p>
    <w:p w:rsidR="00404F53" w:rsidRPr="00404F53" w:rsidRDefault="00404F53" w:rsidP="00404F53">
      <w:pPr>
        <w:spacing w:after="0"/>
        <w:contextualSpacing/>
        <w:jc w:val="both"/>
        <w:rPr>
          <w:rFonts w:ascii="Times New Roman" w:hAnsi="Times New Roman"/>
          <w:sz w:val="24"/>
          <w:szCs w:val="24"/>
        </w:rPr>
      </w:pPr>
      <w:r w:rsidRPr="00404F53">
        <w:rPr>
          <w:rFonts w:ascii="Times New Roman" w:hAnsi="Times New Roman"/>
          <w:sz w:val="24"/>
          <w:szCs w:val="24"/>
        </w:rPr>
        <w:lastRenderedPageBreak/>
        <w:t xml:space="preserve">ZAFALON, </w:t>
      </w:r>
      <w:proofErr w:type="spellStart"/>
      <w:r w:rsidRPr="00404F53">
        <w:rPr>
          <w:rFonts w:ascii="Times New Roman" w:hAnsi="Times New Roman"/>
          <w:sz w:val="24"/>
          <w:szCs w:val="24"/>
        </w:rPr>
        <w:t>Mírian</w:t>
      </w:r>
      <w:proofErr w:type="spellEnd"/>
      <w:r w:rsidRPr="00404F53">
        <w:rPr>
          <w:rFonts w:ascii="Times New Roman" w:hAnsi="Times New Roman"/>
          <w:sz w:val="24"/>
          <w:szCs w:val="24"/>
        </w:rPr>
        <w:t>. A identidade feminina à sombra da dominação masculina: uma leitura de camarão no jantar, de Sonia Coutinho. REVISTA LETRAS. Curitiba - v.16, n. 19, jul./dez. 2014 – UTFPR. Disponível em: //periodicos.utfpr.edu.br/</w:t>
      </w:r>
      <w:proofErr w:type="spellStart"/>
      <w:r w:rsidRPr="00404F53">
        <w:rPr>
          <w:rFonts w:ascii="Times New Roman" w:hAnsi="Times New Roman"/>
          <w:sz w:val="24"/>
          <w:szCs w:val="24"/>
        </w:rPr>
        <w:t>rl</w:t>
      </w:r>
      <w:proofErr w:type="spellEnd"/>
      <w:r w:rsidRPr="00404F53">
        <w:rPr>
          <w:rFonts w:ascii="Times New Roman" w:hAnsi="Times New Roman"/>
          <w:sz w:val="24"/>
          <w:szCs w:val="24"/>
        </w:rPr>
        <w:t>. Acesso em 5 de junho de 2019.</w:t>
      </w:r>
    </w:p>
    <w:p w:rsidR="00404F53" w:rsidRPr="00404F53" w:rsidRDefault="00404F53" w:rsidP="00404F53">
      <w:pPr>
        <w:spacing w:after="0"/>
        <w:contextualSpacing/>
        <w:jc w:val="both"/>
        <w:rPr>
          <w:rFonts w:ascii="Times New Roman" w:hAnsi="Times New Roman"/>
          <w:sz w:val="24"/>
          <w:szCs w:val="24"/>
        </w:rPr>
      </w:pPr>
    </w:p>
    <w:p w:rsidR="00C67EF6" w:rsidRPr="00404F53" w:rsidRDefault="00C67EF6" w:rsidP="00404F53">
      <w:pPr>
        <w:spacing w:after="0"/>
        <w:contextualSpacing/>
        <w:jc w:val="both"/>
        <w:rPr>
          <w:rFonts w:ascii="Times New Roman" w:hAnsi="Times New Roman"/>
          <w:sz w:val="24"/>
          <w:szCs w:val="24"/>
        </w:rPr>
      </w:pPr>
      <w:r w:rsidRPr="00404F53">
        <w:rPr>
          <w:rFonts w:ascii="Times New Roman" w:hAnsi="Times New Roman"/>
          <w:sz w:val="24"/>
          <w:szCs w:val="24"/>
        </w:rPr>
        <w:t xml:space="preserve">ŽIŽEK, </w:t>
      </w:r>
      <w:proofErr w:type="spellStart"/>
      <w:r w:rsidRPr="00404F53">
        <w:rPr>
          <w:rFonts w:ascii="Times New Roman" w:hAnsi="Times New Roman"/>
          <w:sz w:val="24"/>
          <w:szCs w:val="24"/>
        </w:rPr>
        <w:t>Slavoj</w:t>
      </w:r>
      <w:proofErr w:type="spellEnd"/>
      <w:r w:rsidRPr="00404F53">
        <w:rPr>
          <w:rFonts w:ascii="Times New Roman" w:hAnsi="Times New Roman"/>
          <w:sz w:val="24"/>
          <w:szCs w:val="24"/>
        </w:rPr>
        <w:t xml:space="preserve">. </w:t>
      </w:r>
      <w:r w:rsidRPr="00404F53">
        <w:rPr>
          <w:rFonts w:ascii="Times New Roman" w:hAnsi="Times New Roman"/>
          <w:b/>
          <w:sz w:val="24"/>
          <w:szCs w:val="24"/>
        </w:rPr>
        <w:t>Violência: seis reflexões laterais</w:t>
      </w:r>
      <w:r w:rsidRPr="00404F53">
        <w:rPr>
          <w:rFonts w:ascii="Times New Roman" w:hAnsi="Times New Roman"/>
          <w:sz w:val="24"/>
          <w:szCs w:val="24"/>
        </w:rPr>
        <w:t xml:space="preserve">. São Paulo: </w:t>
      </w:r>
      <w:proofErr w:type="spellStart"/>
      <w:r w:rsidRPr="00404F53">
        <w:rPr>
          <w:rFonts w:ascii="Times New Roman" w:hAnsi="Times New Roman"/>
          <w:sz w:val="24"/>
          <w:szCs w:val="24"/>
        </w:rPr>
        <w:t>Boitempo</w:t>
      </w:r>
      <w:proofErr w:type="spellEnd"/>
      <w:r w:rsidRPr="00404F53">
        <w:rPr>
          <w:rFonts w:ascii="Times New Roman" w:hAnsi="Times New Roman"/>
          <w:sz w:val="24"/>
          <w:szCs w:val="24"/>
        </w:rPr>
        <w:t>, 2014.</w:t>
      </w:r>
    </w:p>
    <w:p w:rsidR="00C67EF6" w:rsidRDefault="00C67EF6" w:rsidP="00D436B5">
      <w:pPr>
        <w:jc w:val="both"/>
        <w:rPr>
          <w:rFonts w:ascii="Times New Roman" w:hAnsi="Times New Roman"/>
          <w:sz w:val="24"/>
          <w:szCs w:val="24"/>
        </w:rPr>
      </w:pPr>
    </w:p>
    <w:p w:rsidR="00C67EF6" w:rsidRDefault="00C67EF6" w:rsidP="00D436B5">
      <w:pPr>
        <w:spacing w:after="0" w:line="360" w:lineRule="auto"/>
        <w:jc w:val="both"/>
        <w:rPr>
          <w:rFonts w:ascii="Times New Roman" w:hAnsi="Times New Roman"/>
          <w:b/>
          <w:sz w:val="24"/>
          <w:szCs w:val="24"/>
        </w:rPr>
      </w:pPr>
    </w:p>
    <w:sectPr w:rsidR="00C67EF6" w:rsidSect="00DD4B3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21E" w:rsidRDefault="00F4721E" w:rsidP="00660B15">
      <w:pPr>
        <w:spacing w:after="0" w:line="240" w:lineRule="auto"/>
      </w:pPr>
      <w:r>
        <w:separator/>
      </w:r>
    </w:p>
  </w:endnote>
  <w:endnote w:type="continuationSeparator" w:id="0">
    <w:p w:rsidR="00F4721E" w:rsidRDefault="00F4721E" w:rsidP="0066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21E" w:rsidRDefault="00F4721E" w:rsidP="00660B15">
      <w:pPr>
        <w:spacing w:after="0" w:line="240" w:lineRule="auto"/>
      </w:pPr>
      <w:r>
        <w:separator/>
      </w:r>
    </w:p>
  </w:footnote>
  <w:footnote w:type="continuationSeparator" w:id="0">
    <w:p w:rsidR="00F4721E" w:rsidRDefault="00F4721E" w:rsidP="00660B15">
      <w:pPr>
        <w:spacing w:after="0" w:line="240" w:lineRule="auto"/>
      </w:pPr>
      <w:r>
        <w:continuationSeparator/>
      </w:r>
    </w:p>
  </w:footnote>
  <w:footnote w:id="1">
    <w:p w:rsidR="006F19F0" w:rsidRPr="006F19F0" w:rsidRDefault="006F19F0" w:rsidP="006F19F0">
      <w:pPr>
        <w:pStyle w:val="Rodap"/>
        <w:jc w:val="both"/>
        <w:rPr>
          <w:rFonts w:ascii="Times New Roman" w:hAnsi="Times New Roman"/>
          <w:sz w:val="20"/>
          <w:szCs w:val="20"/>
        </w:rPr>
      </w:pPr>
      <w:r>
        <w:rPr>
          <w:rStyle w:val="Refdenotaderodap"/>
        </w:rPr>
        <w:footnoteRef/>
      </w:r>
      <w:r>
        <w:t xml:space="preserve"> </w:t>
      </w:r>
      <w:r w:rsidRPr="00227BD9">
        <w:rPr>
          <w:rFonts w:ascii="Times New Roman" w:hAnsi="Times New Roman"/>
          <w:sz w:val="20"/>
          <w:szCs w:val="20"/>
        </w:rPr>
        <w:t>Mestra em Direito Constitucional (IDP). Especialista em Direito Penal e Processo Penal (Damásio). Professora Universitária. Advogada (OAB/DF).</w:t>
      </w:r>
      <w:r>
        <w:rPr>
          <w:rFonts w:ascii="Times New Roman" w:hAnsi="Times New Roman"/>
          <w:sz w:val="20"/>
          <w:szCs w:val="20"/>
        </w:rPr>
        <w:t xml:space="preserve"> CA 09, Ed. San Diego, </w:t>
      </w:r>
      <w:proofErr w:type="spellStart"/>
      <w:r>
        <w:rPr>
          <w:rFonts w:ascii="Times New Roman" w:hAnsi="Times New Roman"/>
          <w:sz w:val="20"/>
          <w:szCs w:val="20"/>
        </w:rPr>
        <w:t>ap</w:t>
      </w:r>
      <w:proofErr w:type="spellEnd"/>
      <w:r>
        <w:rPr>
          <w:rFonts w:ascii="Times New Roman" w:hAnsi="Times New Roman"/>
          <w:sz w:val="20"/>
          <w:szCs w:val="20"/>
        </w:rPr>
        <w:t xml:space="preserve"> 109, 71503-509, Brasília/DF. </w:t>
      </w:r>
      <w:hyperlink r:id="rId1" w:history="1">
        <w:r w:rsidRPr="00DA5647">
          <w:rPr>
            <w:rStyle w:val="Hyperlink"/>
            <w:rFonts w:ascii="Times New Roman" w:hAnsi="Times New Roman"/>
            <w:sz w:val="20"/>
            <w:szCs w:val="20"/>
          </w:rPr>
          <w:t>l.maatos@gmail.com</w:t>
        </w:r>
      </w:hyperlink>
      <w:r>
        <w:rPr>
          <w:rFonts w:ascii="Times New Roman" w:hAnsi="Times New Roman"/>
          <w:sz w:val="20"/>
          <w:szCs w:val="20"/>
        </w:rPr>
        <w:t>.</w:t>
      </w:r>
    </w:p>
  </w:footnote>
  <w:footnote w:id="2">
    <w:p w:rsidR="006F19F0" w:rsidRPr="00227BD9" w:rsidRDefault="006F19F0" w:rsidP="006F19F0">
      <w:pPr>
        <w:pStyle w:val="Rodap"/>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Doutorando em Direito –</w:t>
      </w:r>
      <w:r>
        <w:rPr>
          <w:rFonts w:ascii="Times New Roman" w:hAnsi="Times New Roman"/>
          <w:sz w:val="20"/>
          <w:szCs w:val="20"/>
        </w:rPr>
        <w:t xml:space="preserve"> </w:t>
      </w:r>
      <w:r>
        <w:rPr>
          <w:rFonts w:ascii="Times New Roman" w:hAnsi="Times New Roman"/>
          <w:sz w:val="20"/>
          <w:szCs w:val="20"/>
        </w:rPr>
        <w:t>UNB, mestre em D</w:t>
      </w:r>
      <w:r>
        <w:rPr>
          <w:rFonts w:ascii="Times New Roman" w:hAnsi="Times New Roman"/>
          <w:sz w:val="20"/>
          <w:szCs w:val="20"/>
        </w:rPr>
        <w:t xml:space="preserve">ireito – CESUPA. Especialista em Direito Civil – PUC MG, Professor da Universidade Federal de Mato Grosso. Advogado (OAB/MT). Rua Waldir Rabelo, 485, ap. 201, CEP 7860000, Barra do Garças/MT, </w:t>
      </w:r>
      <w:hyperlink r:id="rId2" w:history="1">
        <w:r w:rsidRPr="00DA5647">
          <w:rPr>
            <w:rStyle w:val="Hyperlink"/>
            <w:rFonts w:ascii="Times New Roman" w:hAnsi="Times New Roman"/>
            <w:sz w:val="20"/>
            <w:szCs w:val="20"/>
          </w:rPr>
          <w:t>thiagogaleao@hotmail.com</w:t>
        </w:r>
      </w:hyperlink>
      <w:r>
        <w:rPr>
          <w:rFonts w:ascii="Times New Roman" w:hAnsi="Times New Roman"/>
          <w:sz w:val="20"/>
          <w:szCs w:val="20"/>
        </w:rPr>
        <w:t>.</w:t>
      </w:r>
    </w:p>
    <w:p w:rsidR="006F19F0" w:rsidRDefault="006F19F0">
      <w:pPr>
        <w:pStyle w:val="Textodenotaderodap"/>
      </w:pPr>
    </w:p>
  </w:footnote>
  <w:footnote w:id="3">
    <w:p w:rsidR="00660B15" w:rsidRPr="00DB62D6" w:rsidRDefault="00660B15" w:rsidP="000F13D4">
      <w:pPr>
        <w:spacing w:line="240" w:lineRule="auto"/>
        <w:jc w:val="both"/>
        <w:rPr>
          <w:rFonts w:ascii="Times New Roman" w:hAnsi="Times New Roman"/>
          <w:sz w:val="24"/>
          <w:szCs w:val="24"/>
        </w:rPr>
      </w:pPr>
      <w:r>
        <w:rPr>
          <w:rStyle w:val="Refdenotaderodap"/>
        </w:rPr>
        <w:footnoteRef/>
      </w:r>
      <w:r>
        <w:t xml:space="preserve"> </w:t>
      </w:r>
      <w:r w:rsidRPr="008B180E">
        <w:rPr>
          <w:rFonts w:ascii="Times New Roman" w:hAnsi="Times New Roman"/>
          <w:sz w:val="20"/>
          <w:szCs w:val="20"/>
        </w:rPr>
        <w:t xml:space="preserve">“A constância dos </w:t>
      </w:r>
      <w:proofErr w:type="spellStart"/>
      <w:r w:rsidRPr="008B180E">
        <w:rPr>
          <w:rFonts w:ascii="Times New Roman" w:hAnsi="Times New Roman"/>
          <w:i/>
          <w:sz w:val="20"/>
          <w:szCs w:val="20"/>
        </w:rPr>
        <w:t>habitus</w:t>
      </w:r>
      <w:proofErr w:type="spellEnd"/>
      <w:r w:rsidRPr="008B180E">
        <w:rPr>
          <w:rFonts w:ascii="Times New Roman" w:hAnsi="Times New Roman"/>
          <w:sz w:val="20"/>
          <w:szCs w:val="20"/>
        </w:rPr>
        <w:t xml:space="preserve"> que daí resulta é, assim, um dos fatores mais importantes da relativa constância da estrutura da divisão sexual de trabalho: pelo fato de serem estes princípios transmitidos, essencialmente, corpo a corpo, aquém da consciência e do discurso, eles escapam, em grande parte, às tomadas de controle consciente e, simultaneamente, às transformações ou às correções </w:t>
      </w:r>
      <w:r>
        <w:rPr>
          <w:rFonts w:ascii="Times New Roman" w:hAnsi="Times New Roman"/>
          <w:sz w:val="20"/>
          <w:szCs w:val="20"/>
        </w:rPr>
        <w:t>[...]”</w:t>
      </w:r>
      <w:r w:rsidRPr="008B180E">
        <w:rPr>
          <w:rFonts w:ascii="Times New Roman" w:hAnsi="Times New Roman"/>
          <w:sz w:val="20"/>
          <w:szCs w:val="20"/>
        </w:rPr>
        <w:t xml:space="preserve"> (</w:t>
      </w:r>
      <w:proofErr w:type="spellStart"/>
      <w:r>
        <w:rPr>
          <w:rFonts w:ascii="Times New Roman" w:hAnsi="Times New Roman"/>
          <w:sz w:val="20"/>
          <w:szCs w:val="20"/>
        </w:rPr>
        <w:t>Bourdieu</w:t>
      </w:r>
      <w:proofErr w:type="spellEnd"/>
      <w:r>
        <w:rPr>
          <w:rFonts w:ascii="Times New Roman" w:hAnsi="Times New Roman"/>
          <w:sz w:val="20"/>
          <w:szCs w:val="20"/>
        </w:rPr>
        <w:t xml:space="preserve">, 2014, </w:t>
      </w:r>
      <w:r w:rsidRPr="008B180E">
        <w:rPr>
          <w:rFonts w:ascii="Times New Roman" w:hAnsi="Times New Roman"/>
          <w:sz w:val="20"/>
          <w:szCs w:val="20"/>
        </w:rPr>
        <w:t>p</w:t>
      </w:r>
      <w:r>
        <w:rPr>
          <w:rFonts w:ascii="Times New Roman" w:hAnsi="Times New Roman"/>
          <w:sz w:val="20"/>
          <w:szCs w:val="20"/>
        </w:rPr>
        <w:t>.</w:t>
      </w:r>
      <w:r w:rsidRPr="008B180E">
        <w:rPr>
          <w:rFonts w:ascii="Times New Roman" w:hAnsi="Times New Roman"/>
          <w:sz w:val="20"/>
          <w:szCs w:val="20"/>
        </w:rPr>
        <w:t xml:space="preserve"> 133)</w:t>
      </w:r>
      <w:r>
        <w:rPr>
          <w:rFonts w:ascii="Times New Roman" w:hAnsi="Times New Roman"/>
          <w:sz w:val="20"/>
          <w:szCs w:val="20"/>
        </w:rPr>
        <w:t>.</w:t>
      </w:r>
    </w:p>
  </w:footnote>
  <w:footnote w:id="4">
    <w:p w:rsidR="00660B15" w:rsidRDefault="00660B15" w:rsidP="000F13D4">
      <w:pPr>
        <w:pStyle w:val="Textodenotaderodap"/>
        <w:jc w:val="both"/>
      </w:pPr>
      <w:r w:rsidRPr="00E51030">
        <w:rPr>
          <w:rStyle w:val="Refdenotaderodap"/>
          <w:rFonts w:ascii="Times New Roman" w:hAnsi="Times New Roman"/>
        </w:rPr>
        <w:footnoteRef/>
      </w:r>
      <w:r w:rsidRPr="00E51030">
        <w:rPr>
          <w:rFonts w:ascii="Times New Roman" w:hAnsi="Times New Roman"/>
        </w:rPr>
        <w:t xml:space="preserve"> Refere-se, neste contexto, à concepção de Leibniz sobre os atos de cada </w:t>
      </w:r>
      <w:proofErr w:type="spellStart"/>
      <w:r w:rsidRPr="00E51030">
        <w:rPr>
          <w:rFonts w:ascii="Times New Roman" w:hAnsi="Times New Roman"/>
        </w:rPr>
        <w:t>mônada</w:t>
      </w:r>
      <w:proofErr w:type="spellEnd"/>
      <w:r w:rsidRPr="00E51030">
        <w:rPr>
          <w:rFonts w:ascii="Times New Roman" w:hAnsi="Times New Roman"/>
        </w:rPr>
        <w:t>, que para ele foram objetos de uma regulação antecipada, que proporcionou a adaptação destas aos atos de todas as</w:t>
      </w:r>
      <w:r>
        <w:rPr>
          <w:rFonts w:ascii="Times New Roman" w:hAnsi="Times New Roman"/>
        </w:rPr>
        <w:t xml:space="preserve"> outras</w:t>
      </w:r>
      <w:r w:rsidRPr="00E51030">
        <w:rPr>
          <w:rFonts w:ascii="Times New Roman" w:hAnsi="Times New Roman"/>
        </w:rPr>
        <w:t xml:space="preserve">. Trata-se de uma harmonia pré-estabelecida. </w:t>
      </w:r>
    </w:p>
  </w:footnote>
  <w:footnote w:id="5">
    <w:p w:rsidR="00491628" w:rsidRPr="00E06BFA" w:rsidRDefault="00491628" w:rsidP="00491628">
      <w:pPr>
        <w:pStyle w:val="Textodenotaderodap"/>
        <w:rPr>
          <w:rFonts w:ascii="Times New Roman" w:hAnsi="Times New Roman"/>
        </w:rPr>
      </w:pPr>
      <w:r w:rsidRPr="00E06BFA">
        <w:rPr>
          <w:rStyle w:val="Refdenotaderodap"/>
          <w:rFonts w:ascii="Times New Roman" w:hAnsi="Times New Roman"/>
        </w:rPr>
        <w:footnoteRef/>
      </w:r>
      <w:r w:rsidRPr="00E06BFA">
        <w:rPr>
          <w:rFonts w:ascii="Times New Roman" w:hAnsi="Times New Roman"/>
        </w:rPr>
        <w:t xml:space="preserve"> Lei 11.942/2009. Art. 83, § 2º </w:t>
      </w:r>
      <w:r w:rsidRPr="00E06BFA">
        <w:rPr>
          <w:rFonts w:ascii="Times New Roman" w:hAnsi="Times New Roman"/>
          <w:color w:val="000000"/>
        </w:rPr>
        <w:t>Os estabelecimentos penais destinados a mulheres serão dotados de berçário, onde as condenadas possam cuidar de seus filhos, inclusive amamentá-los, no mínimo, até 6 (seis) meses de idade.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B15"/>
    <w:rsid w:val="000F13D4"/>
    <w:rsid w:val="00227BD9"/>
    <w:rsid w:val="002D350A"/>
    <w:rsid w:val="00361109"/>
    <w:rsid w:val="00387055"/>
    <w:rsid w:val="003B19F4"/>
    <w:rsid w:val="003E2CB2"/>
    <w:rsid w:val="00404F53"/>
    <w:rsid w:val="0042107A"/>
    <w:rsid w:val="00491628"/>
    <w:rsid w:val="004F6644"/>
    <w:rsid w:val="005144D6"/>
    <w:rsid w:val="0057126D"/>
    <w:rsid w:val="005C032F"/>
    <w:rsid w:val="00660B15"/>
    <w:rsid w:val="006F19F0"/>
    <w:rsid w:val="006F5A4A"/>
    <w:rsid w:val="00786CF9"/>
    <w:rsid w:val="007D46AF"/>
    <w:rsid w:val="008F100D"/>
    <w:rsid w:val="0093009C"/>
    <w:rsid w:val="00954184"/>
    <w:rsid w:val="00954669"/>
    <w:rsid w:val="009E72DC"/>
    <w:rsid w:val="00A965F7"/>
    <w:rsid w:val="00AC3009"/>
    <w:rsid w:val="00BA2094"/>
    <w:rsid w:val="00BA36D7"/>
    <w:rsid w:val="00BA7ADF"/>
    <w:rsid w:val="00BC0DC6"/>
    <w:rsid w:val="00BF362B"/>
    <w:rsid w:val="00C34248"/>
    <w:rsid w:val="00C6397D"/>
    <w:rsid w:val="00C67EF6"/>
    <w:rsid w:val="00D00664"/>
    <w:rsid w:val="00D436B5"/>
    <w:rsid w:val="00DC5F66"/>
    <w:rsid w:val="00DD4B35"/>
    <w:rsid w:val="00DD581E"/>
    <w:rsid w:val="00E06624"/>
    <w:rsid w:val="00E17A0D"/>
    <w:rsid w:val="00E500AA"/>
    <w:rsid w:val="00E60B82"/>
    <w:rsid w:val="00E755C2"/>
    <w:rsid w:val="00EC5205"/>
    <w:rsid w:val="00F035C6"/>
    <w:rsid w:val="00F4721E"/>
    <w:rsid w:val="00F7098A"/>
    <w:rsid w:val="00FF1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E89C2"/>
  <w15:docId w15:val="{5F9C582C-5EF5-3D4A-8640-48572787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15"/>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93009C"/>
    <w:rPr>
      <w:b/>
      <w:bCs/>
    </w:rPr>
  </w:style>
  <w:style w:type="paragraph" w:styleId="PargrafodaLista">
    <w:name w:val="List Paragraph"/>
    <w:basedOn w:val="Normal"/>
    <w:link w:val="PargrafodaListaChar"/>
    <w:uiPriority w:val="34"/>
    <w:qFormat/>
    <w:rsid w:val="0093009C"/>
    <w:pPr>
      <w:ind w:left="720"/>
      <w:contextualSpacing/>
    </w:pPr>
  </w:style>
  <w:style w:type="paragraph" w:styleId="Textodenotaderodap">
    <w:name w:val="footnote text"/>
    <w:basedOn w:val="Normal"/>
    <w:link w:val="TextodenotaderodapChar"/>
    <w:uiPriority w:val="99"/>
    <w:semiHidden/>
    <w:unhideWhenUsed/>
    <w:rsid w:val="00660B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0B15"/>
  </w:style>
  <w:style w:type="character" w:styleId="Refdenotaderodap">
    <w:name w:val="footnote reference"/>
    <w:basedOn w:val="Fontepargpadro"/>
    <w:uiPriority w:val="99"/>
    <w:semiHidden/>
    <w:unhideWhenUsed/>
    <w:rsid w:val="00660B15"/>
    <w:rPr>
      <w:vertAlign w:val="superscript"/>
    </w:rPr>
  </w:style>
  <w:style w:type="paragraph" w:styleId="Pr-formataoHTML">
    <w:name w:val="HTML Preformatted"/>
    <w:basedOn w:val="Normal"/>
    <w:link w:val="Pr-formataoHTMLChar"/>
    <w:uiPriority w:val="99"/>
    <w:semiHidden/>
    <w:unhideWhenUsed/>
    <w:rsid w:val="00BA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A7ADF"/>
    <w:rPr>
      <w:rFonts w:ascii="Courier New" w:eastAsia="Times New Roman" w:hAnsi="Courier New" w:cs="Courier New"/>
      <w:lang w:eastAsia="pt-BR"/>
    </w:rPr>
  </w:style>
  <w:style w:type="character" w:styleId="Refdecomentrio">
    <w:name w:val="annotation reference"/>
    <w:basedOn w:val="Fontepargpadro"/>
    <w:uiPriority w:val="99"/>
    <w:semiHidden/>
    <w:unhideWhenUsed/>
    <w:rsid w:val="00491628"/>
    <w:rPr>
      <w:sz w:val="16"/>
      <w:szCs w:val="16"/>
    </w:rPr>
  </w:style>
  <w:style w:type="paragraph" w:styleId="Textodecomentrio">
    <w:name w:val="annotation text"/>
    <w:basedOn w:val="Normal"/>
    <w:link w:val="TextodecomentrioChar"/>
    <w:uiPriority w:val="99"/>
    <w:semiHidden/>
    <w:unhideWhenUsed/>
    <w:rsid w:val="00491628"/>
    <w:pPr>
      <w:spacing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491628"/>
    <w:rPr>
      <w:rFonts w:asciiTheme="minorHAnsi" w:eastAsiaTheme="minorHAnsi" w:hAnsiTheme="minorHAnsi" w:cstheme="minorBidi"/>
    </w:rPr>
  </w:style>
  <w:style w:type="paragraph" w:customStyle="1" w:styleId="Estilo2">
    <w:name w:val="Estilo2"/>
    <w:basedOn w:val="PargrafodaLista"/>
    <w:link w:val="Estilo2Char"/>
    <w:qFormat/>
    <w:rsid w:val="00491628"/>
    <w:pPr>
      <w:spacing w:line="360" w:lineRule="auto"/>
      <w:ind w:left="0"/>
      <w:jc w:val="both"/>
    </w:pPr>
    <w:rPr>
      <w:rFonts w:ascii="Times New Roman" w:eastAsiaTheme="minorHAnsi" w:hAnsi="Times New Roman"/>
      <w:sz w:val="24"/>
      <w:szCs w:val="24"/>
    </w:rPr>
  </w:style>
  <w:style w:type="character" w:customStyle="1" w:styleId="PargrafodaListaChar">
    <w:name w:val="Parágrafo da Lista Char"/>
    <w:basedOn w:val="Fontepargpadro"/>
    <w:link w:val="PargrafodaLista"/>
    <w:uiPriority w:val="34"/>
    <w:rsid w:val="00491628"/>
    <w:rPr>
      <w:sz w:val="22"/>
      <w:szCs w:val="22"/>
    </w:rPr>
  </w:style>
  <w:style w:type="character" w:customStyle="1" w:styleId="Estilo2Char">
    <w:name w:val="Estilo2 Char"/>
    <w:basedOn w:val="PargrafodaListaChar"/>
    <w:link w:val="Estilo2"/>
    <w:rsid w:val="00491628"/>
    <w:rPr>
      <w:rFonts w:ascii="Times New Roman" w:eastAsiaTheme="minorHAnsi" w:hAnsi="Times New Roman"/>
      <w:sz w:val="24"/>
      <w:szCs w:val="24"/>
    </w:rPr>
  </w:style>
  <w:style w:type="paragraph" w:styleId="Textodebalo">
    <w:name w:val="Balloon Text"/>
    <w:basedOn w:val="Normal"/>
    <w:link w:val="TextodebaloChar"/>
    <w:uiPriority w:val="99"/>
    <w:semiHidden/>
    <w:unhideWhenUsed/>
    <w:rsid w:val="004916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628"/>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491628"/>
    <w:rPr>
      <w:rFonts w:ascii="Calibri" w:eastAsia="Calibri" w:hAnsi="Calibri" w:cs="Times New Roman"/>
      <w:b/>
      <w:bCs/>
    </w:rPr>
  </w:style>
  <w:style w:type="character" w:customStyle="1" w:styleId="AssuntodocomentrioChar">
    <w:name w:val="Assunto do comentário Char"/>
    <w:basedOn w:val="TextodecomentrioChar"/>
    <w:link w:val="Assuntodocomentrio"/>
    <w:uiPriority w:val="99"/>
    <w:semiHidden/>
    <w:rsid w:val="00491628"/>
    <w:rPr>
      <w:rFonts w:asciiTheme="minorHAnsi" w:eastAsiaTheme="minorHAnsi" w:hAnsiTheme="minorHAnsi" w:cstheme="minorBidi"/>
      <w:b/>
      <w:bCs/>
    </w:rPr>
  </w:style>
  <w:style w:type="character" w:styleId="Hyperlink">
    <w:name w:val="Hyperlink"/>
    <w:basedOn w:val="Fontepargpadro"/>
    <w:uiPriority w:val="99"/>
    <w:unhideWhenUsed/>
    <w:rsid w:val="00EC5205"/>
    <w:rPr>
      <w:color w:val="0000FF"/>
      <w:u w:val="single"/>
    </w:rPr>
  </w:style>
  <w:style w:type="character" w:styleId="CitaoHTML">
    <w:name w:val="HTML Cite"/>
    <w:basedOn w:val="Fontepargpadro"/>
    <w:uiPriority w:val="99"/>
    <w:semiHidden/>
    <w:unhideWhenUsed/>
    <w:rsid w:val="00EC5205"/>
    <w:rPr>
      <w:i/>
      <w:iCs/>
    </w:rPr>
  </w:style>
  <w:style w:type="paragraph" w:customStyle="1" w:styleId="Default">
    <w:name w:val="Default"/>
    <w:rsid w:val="00EC5205"/>
    <w:pPr>
      <w:autoSpaceDE w:val="0"/>
      <w:autoSpaceDN w:val="0"/>
      <w:adjustRightInd w:val="0"/>
    </w:pPr>
    <w:rPr>
      <w:rFonts w:ascii="Times New Roman" w:eastAsiaTheme="minorHAnsi" w:hAnsi="Times New Roman"/>
      <w:color w:val="000000"/>
      <w:sz w:val="24"/>
      <w:szCs w:val="24"/>
    </w:rPr>
  </w:style>
  <w:style w:type="paragraph" w:styleId="Cabealho">
    <w:name w:val="header"/>
    <w:basedOn w:val="Normal"/>
    <w:link w:val="CabealhoChar"/>
    <w:uiPriority w:val="99"/>
    <w:unhideWhenUsed/>
    <w:rsid w:val="008F10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100D"/>
    <w:rPr>
      <w:sz w:val="22"/>
      <w:szCs w:val="22"/>
    </w:rPr>
  </w:style>
  <w:style w:type="paragraph" w:styleId="Rodap">
    <w:name w:val="footer"/>
    <w:basedOn w:val="Normal"/>
    <w:link w:val="RodapChar"/>
    <w:uiPriority w:val="99"/>
    <w:unhideWhenUsed/>
    <w:rsid w:val="008F100D"/>
    <w:pPr>
      <w:tabs>
        <w:tab w:val="center" w:pos="4252"/>
        <w:tab w:val="right" w:pos="8504"/>
      </w:tabs>
      <w:spacing w:after="0" w:line="240" w:lineRule="auto"/>
    </w:pPr>
  </w:style>
  <w:style w:type="character" w:customStyle="1" w:styleId="RodapChar">
    <w:name w:val="Rodapé Char"/>
    <w:basedOn w:val="Fontepargpadro"/>
    <w:link w:val="Rodap"/>
    <w:uiPriority w:val="99"/>
    <w:rsid w:val="008F100D"/>
    <w:rPr>
      <w:sz w:val="22"/>
      <w:szCs w:val="22"/>
    </w:rPr>
  </w:style>
  <w:style w:type="character" w:styleId="MenoPendente">
    <w:name w:val="Unresolved Mention"/>
    <w:basedOn w:val="Fontepargpadro"/>
    <w:uiPriority w:val="99"/>
    <w:semiHidden/>
    <w:unhideWhenUsed/>
    <w:rsid w:val="006F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1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direito.com.br/conpedi/manaus/arquivos/anais/fortaleza/3310.pdf" TargetMode="External"/><Relationship Id="rId13" Type="http://schemas.openxmlformats.org/officeDocument/2006/relationships/hyperlink" Target="http://bibliodigital.unijui.edu.br:8080/xmlui/handle/123456789/2553" TargetMode="External"/><Relationship Id="rId3" Type="http://schemas.openxmlformats.org/officeDocument/2006/relationships/settings" Target="settings.xml"/><Relationship Id="rId7" Type="http://schemas.openxmlformats.org/officeDocument/2006/relationships/hyperlink" Target="https://bibliotecadigital.fgv.br/dspace/bitstream/handle/10438/24904/IBCCRIM-Os%20obsta%CC%81culos%20impostos%20a%CC%80s%20mulheres%20nas%20visitas%20aos%20presos%20como%20forma%20de%20injustic%CC%A7a%20de%20ge%CC%82nero%20no%20Tribunal%20do%20Distrito%20Federal.pdf?sequence=1&amp;isAllowed=y" TargetMode="External"/><Relationship Id="rId12" Type="http://schemas.openxmlformats.org/officeDocument/2006/relationships/hyperlink" Target="http://ambito-juridico.com.br/site/index.php?n_link=revista_artigos_leitura&amp;artigo_id=80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lo.br/scielo.php?pid=S1519-60892018000100065&amp;script=sci_abstract&amp;tlng=pt" TargetMode="External"/><Relationship Id="rId5" Type="http://schemas.openxmlformats.org/officeDocument/2006/relationships/footnotes" Target="footnotes.xml"/><Relationship Id="rId15" Type="http://schemas.openxmlformats.org/officeDocument/2006/relationships/hyperlink" Target="http://www.miniweb.com.br/Historia/artigos/i_antiga/pdf/serie236empdf.pdf" TargetMode="External"/><Relationship Id="rId10" Type="http://schemas.openxmlformats.org/officeDocument/2006/relationships/hyperlink" Target="http://repositorio.unb.br/handle/10482/5117?mode=full" TargetMode="External"/><Relationship Id="rId4" Type="http://schemas.openxmlformats.org/officeDocument/2006/relationships/webSettings" Target="webSettings.xml"/><Relationship Id="rId9" Type="http://schemas.openxmlformats.org/officeDocument/2006/relationships/hyperlink" Target="http://repositorio.unb.br/bitstream/10482/16696/1/2013_ThaisDumetFaria.pdf" TargetMode="External"/><Relationship Id="rId14" Type="http://schemas.openxmlformats.org/officeDocument/2006/relationships/hyperlink" Target="http://repositorio.unb.br/bitstream/10482/13758/1/2012_LucianadeSouzaRamo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hiagogaleao@hotmail.com" TargetMode="External"/><Relationship Id="rId1" Type="http://schemas.openxmlformats.org/officeDocument/2006/relationships/hyperlink" Target="mailto:l.maato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52BF-301C-4C4E-82F5-75673E98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7494</Words>
  <Characters>40469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Thiago Galeão</cp:lastModifiedBy>
  <cp:revision>2</cp:revision>
  <dcterms:created xsi:type="dcterms:W3CDTF">2019-12-15T13:14:00Z</dcterms:created>
  <dcterms:modified xsi:type="dcterms:W3CDTF">2019-12-15T13:14:00Z</dcterms:modified>
</cp:coreProperties>
</file>